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37EFEB">
      <w:pPr>
        <w:autoSpaceDE w:val="0"/>
        <w:autoSpaceDN w:val="0"/>
        <w:adjustRightInd w:val="0"/>
        <w:spacing w:after="0" w:line="240" w:lineRule="auto"/>
        <w:jc w:val="center"/>
        <w:rPr>
          <w:rFonts w:hint="default" w:ascii="Times New Roman" w:hAnsi="Times New Roman" w:cs="Times New Roman"/>
          <w:b/>
          <w:bCs/>
          <w:sz w:val="40"/>
          <w:szCs w:val="40"/>
          <w:lang w:val="en-US"/>
        </w:rPr>
      </w:pPr>
      <w:r>
        <w:rPr>
          <w:rFonts w:ascii="Times New Roman" w:hAnsi="Times New Roman" w:cs="Times New Roman"/>
          <w:b/>
          <w:sz w:val="40"/>
          <w:szCs w:val="40"/>
          <w:lang w:val="en-US"/>
        </w:rPr>
        <w:t xml:space="preserve">O’ZBEKISTON RESPUBLIKASI </w:t>
      </w:r>
      <w:r>
        <w:rPr>
          <w:rFonts w:hint="default" w:ascii="Times New Roman" w:hAnsi="Times New Roman" w:eastAsia="Arial" w:cs="Times New Roman"/>
          <w:b/>
          <w:bCs/>
          <w:i w:val="0"/>
          <w:iCs w:val="0"/>
          <w:color w:val="000000"/>
          <w:spacing w:val="0"/>
          <w:sz w:val="40"/>
          <w:szCs w:val="40"/>
          <w:shd w:val="clear" w:fill="FFFFFF"/>
        </w:rPr>
        <w:t>OLIY TA’LIM, FAN VA INNOVATSIYALAR VAZIRLIGI</w:t>
      </w:r>
    </w:p>
    <w:p w14:paraId="36D2F235">
      <w:pPr>
        <w:autoSpaceDE w:val="0"/>
        <w:autoSpaceDN w:val="0"/>
        <w:adjustRightInd w:val="0"/>
        <w:spacing w:after="0" w:line="240" w:lineRule="auto"/>
        <w:jc w:val="center"/>
        <w:rPr>
          <w:rFonts w:ascii="Times New Roman" w:hAnsi="Times New Roman" w:cs="Times New Roman"/>
          <w:b/>
          <w:sz w:val="40"/>
          <w:szCs w:val="40"/>
          <w:lang w:val="uz-Cyrl-UZ"/>
        </w:rPr>
      </w:pPr>
    </w:p>
    <w:p w14:paraId="5E429A41">
      <w:pPr>
        <w:autoSpaceDE w:val="0"/>
        <w:autoSpaceDN w:val="0"/>
        <w:adjustRightInd w:val="0"/>
        <w:spacing w:after="0" w:line="240" w:lineRule="auto"/>
        <w:jc w:val="center"/>
        <w:rPr>
          <w:rFonts w:ascii="Times New Roman" w:hAnsi="Times New Roman" w:cs="Times New Roman"/>
          <w:b/>
          <w:sz w:val="40"/>
          <w:szCs w:val="40"/>
          <w:lang w:val="en-US"/>
        </w:rPr>
      </w:pPr>
      <w:r>
        <w:rPr>
          <w:rFonts w:ascii="Times New Roman" w:hAnsi="Times New Roman" w:cs="Times New Roman"/>
          <w:b/>
          <w:sz w:val="40"/>
          <w:szCs w:val="40"/>
          <w:lang w:val="uz-Cyrl-UZ"/>
        </w:rPr>
        <w:t>GULISTON</w:t>
      </w:r>
      <w:r>
        <w:rPr>
          <w:rFonts w:ascii="Times New Roman" w:hAnsi="Times New Roman" w:cs="Times New Roman"/>
          <w:b/>
          <w:sz w:val="40"/>
          <w:szCs w:val="40"/>
          <w:lang w:val="en-US"/>
        </w:rPr>
        <w:t xml:space="preserve"> DAVLAT UNIVERSITETI</w:t>
      </w:r>
    </w:p>
    <w:p w14:paraId="3F2A8B69">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1D41D6BE">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79CDADA0">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02F705E4">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6602ACC5">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6076F32B">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316B647B">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67EC4ECC">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6D06A33C">
      <w:pPr>
        <w:autoSpaceDE w:val="0"/>
        <w:autoSpaceDN w:val="0"/>
        <w:adjustRightInd w:val="0"/>
        <w:spacing w:after="0" w:line="240" w:lineRule="auto"/>
        <w:jc w:val="center"/>
        <w:rPr>
          <w:rFonts w:ascii="Times New Roman" w:hAnsi="Times New Roman" w:cs="Times New Roman"/>
          <w:b/>
          <w:sz w:val="56"/>
          <w:szCs w:val="56"/>
          <w:lang w:val="uz-Cyrl-UZ"/>
        </w:rPr>
      </w:pPr>
      <w:r>
        <w:rPr>
          <w:rFonts w:ascii="Times New Roman" w:hAnsi="Times New Roman" w:cs="Times New Roman"/>
          <w:b/>
          <w:sz w:val="56"/>
          <w:szCs w:val="56"/>
          <w:lang w:val="uz-Cyrl-UZ"/>
        </w:rPr>
        <w:t>INVESTIT</w:t>
      </w:r>
      <w:r>
        <w:rPr>
          <w:rFonts w:hint="default" w:ascii="Times New Roman" w:hAnsi="Times New Roman" w:cs="Times New Roman"/>
          <w:b/>
          <w:sz w:val="56"/>
          <w:szCs w:val="56"/>
          <w:lang w:val="en-US"/>
        </w:rPr>
        <w:t>S</w:t>
      </w:r>
      <w:r>
        <w:rPr>
          <w:rFonts w:ascii="Times New Roman" w:hAnsi="Times New Roman" w:cs="Times New Roman"/>
          <w:b/>
          <w:sz w:val="56"/>
          <w:szCs w:val="56"/>
          <w:lang w:val="uz-Cyrl-UZ"/>
        </w:rPr>
        <w:t>ION LOYIHALAR TAHLILI</w:t>
      </w:r>
    </w:p>
    <w:p w14:paraId="0A588465">
      <w:pPr>
        <w:autoSpaceDE w:val="0"/>
        <w:autoSpaceDN w:val="0"/>
        <w:adjustRightInd w:val="0"/>
        <w:spacing w:after="0" w:line="240" w:lineRule="auto"/>
        <w:jc w:val="center"/>
        <w:rPr>
          <w:rFonts w:ascii="Times New Roman" w:hAnsi="Times New Roman" w:cs="Times New Roman"/>
          <w:b/>
          <w:sz w:val="56"/>
          <w:szCs w:val="56"/>
          <w:lang w:val="uz-Cyrl-UZ"/>
        </w:rPr>
      </w:pPr>
    </w:p>
    <w:p w14:paraId="7036FB12">
      <w:pPr>
        <w:autoSpaceDE w:val="0"/>
        <w:autoSpaceDN w:val="0"/>
        <w:adjustRightInd w:val="0"/>
        <w:spacing w:after="0" w:line="240" w:lineRule="auto"/>
        <w:jc w:val="center"/>
        <w:rPr>
          <w:rFonts w:ascii="Times New Roman" w:hAnsi="Times New Roman" w:cs="Times New Roman"/>
          <w:b/>
          <w:sz w:val="56"/>
          <w:szCs w:val="56"/>
          <w:lang w:val="uz-Cyrl-UZ"/>
        </w:rPr>
      </w:pPr>
      <w:r>
        <w:rPr>
          <w:rFonts w:ascii="Times New Roman" w:hAnsi="Times New Roman" w:cs="Times New Roman"/>
          <w:b/>
          <w:sz w:val="56"/>
          <w:szCs w:val="56"/>
          <w:lang w:val="uz-Cyrl-UZ"/>
        </w:rPr>
        <w:t>O’QUV USLUBIY MAJMUA</w:t>
      </w:r>
    </w:p>
    <w:p w14:paraId="12C14159">
      <w:pPr>
        <w:autoSpaceDE w:val="0"/>
        <w:autoSpaceDN w:val="0"/>
        <w:adjustRightInd w:val="0"/>
        <w:spacing w:after="0" w:line="240" w:lineRule="auto"/>
        <w:ind w:firstLine="709"/>
        <w:jc w:val="both"/>
        <w:rPr>
          <w:rFonts w:ascii="Times New Roman" w:hAnsi="Times New Roman" w:cs="Times New Roman"/>
          <w:sz w:val="56"/>
          <w:szCs w:val="56"/>
          <w:lang w:val="uz-Cyrl-UZ"/>
        </w:rPr>
      </w:pPr>
    </w:p>
    <w:p w14:paraId="286ACD9D">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398B671C">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6231D92E">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40AB61BF">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4759512D">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39311282">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755DD44C">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43E2E712">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5E48FADA">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79D3560E">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5A983752">
      <w:pPr>
        <w:autoSpaceDE w:val="0"/>
        <w:autoSpaceDN w:val="0"/>
        <w:adjustRightInd w:val="0"/>
        <w:spacing w:after="0" w:line="240" w:lineRule="auto"/>
        <w:jc w:val="center"/>
        <w:rPr>
          <w:rFonts w:hint="default" w:ascii="Times New Roman" w:hAnsi="Times New Roman" w:cs="Times New Roman"/>
          <w:b/>
          <w:sz w:val="40"/>
          <w:szCs w:val="40"/>
          <w:lang w:val="en-US"/>
        </w:rPr>
      </w:pPr>
      <w:r>
        <w:rPr>
          <w:rFonts w:ascii="Times New Roman" w:hAnsi="Times New Roman" w:cs="Times New Roman"/>
          <w:b/>
          <w:sz w:val="40"/>
          <w:szCs w:val="40"/>
          <w:lang w:val="uz-Cyrl-UZ"/>
        </w:rPr>
        <w:t>GULISTON</w:t>
      </w:r>
      <w:r>
        <w:rPr>
          <w:rFonts w:ascii="Times New Roman" w:hAnsi="Times New Roman" w:cs="Times New Roman"/>
          <w:b/>
          <w:sz w:val="40"/>
          <w:szCs w:val="40"/>
          <w:lang w:val="en-US"/>
        </w:rPr>
        <w:t xml:space="preserve"> – 20</w:t>
      </w:r>
      <w:r>
        <w:rPr>
          <w:rFonts w:hint="default" w:ascii="Times New Roman" w:hAnsi="Times New Roman" w:cs="Times New Roman"/>
          <w:b/>
          <w:sz w:val="40"/>
          <w:szCs w:val="40"/>
          <w:lang w:val="en-US"/>
        </w:rPr>
        <w:t>24</w:t>
      </w:r>
    </w:p>
    <w:p w14:paraId="39A9EBCD">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42CFCBB1">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7E100017">
      <w:pPr>
        <w:autoSpaceDE w:val="0"/>
        <w:autoSpaceDN w:val="0"/>
        <w:adjustRightInd w:val="0"/>
        <w:spacing w:after="0" w:line="240" w:lineRule="auto"/>
        <w:ind w:firstLine="709"/>
        <w:jc w:val="both"/>
        <w:rPr>
          <w:rFonts w:hint="default" w:ascii="Times New Roman" w:hAnsi="Times New Roman" w:cs="Times New Roman"/>
          <w:sz w:val="28"/>
          <w:szCs w:val="28"/>
          <w:lang w:val="en-US"/>
        </w:rPr>
      </w:pPr>
      <w:r>
        <w:rPr>
          <w:rFonts w:ascii="Times New Roman" w:hAnsi="Times New Roman" w:cs="Times New Roman"/>
          <w:sz w:val="28"/>
          <w:szCs w:val="28"/>
          <w:lang w:val="uz-Cyrl-UZ"/>
        </w:rPr>
        <w:t xml:space="preserve">Tuzuvchi: </w:t>
      </w:r>
      <w:r>
        <w:rPr>
          <w:rFonts w:hint="default" w:ascii="Times New Roman" w:hAnsi="Times New Roman" w:cs="Times New Roman"/>
          <w:sz w:val="28"/>
          <w:szCs w:val="28"/>
          <w:lang w:val="en-US"/>
        </w:rPr>
        <w:t>G.K.Turayeva</w:t>
      </w:r>
    </w:p>
    <w:p w14:paraId="3C6BA31C">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2269DF6D">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Loyihalar tahlili (O’quv uslubiy majmua). -Guliston., GDU, 20</w:t>
      </w:r>
      <w:r>
        <w:rPr>
          <w:rFonts w:hint="default" w:ascii="Times New Roman" w:hAnsi="Times New Roman" w:cs="Times New Roman"/>
          <w:sz w:val="28"/>
          <w:szCs w:val="28"/>
          <w:lang w:val="en-US"/>
        </w:rPr>
        <w:t>24</w:t>
      </w:r>
      <w:r>
        <w:rPr>
          <w:rFonts w:ascii="Times New Roman" w:hAnsi="Times New Roman" w:cs="Times New Roman"/>
          <w:sz w:val="28"/>
          <w:szCs w:val="28"/>
          <w:lang w:val="uz-Cyrl-UZ"/>
        </w:rPr>
        <w:t>.</w:t>
      </w:r>
    </w:p>
    <w:p w14:paraId="21851609">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6AF92303">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Taqrizchilar:</w:t>
      </w:r>
    </w:p>
    <w:p w14:paraId="7970DA03">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1. Sattorqulov Obidqul Turdiqulovich – GulDU, Iqtisodiyot kafedrasi mudiri, i.f.n., dotsent</w:t>
      </w:r>
    </w:p>
    <w:p w14:paraId="57D2D0FE">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2. Burhonov Alisher Xodjimuratovich - Iqtisodiyot kafedrasi dotsenti, iqtisod fanlari nomzodi</w:t>
      </w:r>
    </w:p>
    <w:p w14:paraId="0612B041">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5F839F13">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2D9E3DC3">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0EDB4ED4">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Ushbu o’quv majmuada loyihalarning mohiyati va ularni tayyorlash, loyiha tahlili kontseptsiyasi, loyihalarini moliyaviy-iqtisodiy baholashning uslubiy asoslari va usullari, loyihalarni tahlil qilishning turli jihatlari yoritilgan. Loyihalarni texnik, institutsional, ijtimoiy, ekologik, moliyaviy va iqtisodiy tahlil qilish masalalari alohida-alohida mavzularda berilgan; shuningdek loyihalarning tavakkal xavfini baholash mavzusi o’rin olgan. Iqtisodiy tahlilning uslubi investitsiya loyihalarining tahlili uslubidan va yondashuvidan tubdan farq qiladi. Iqtisodiy tahlil jarayonida loyiha mamlakat iqtisodiyoti uchun qanday naf berishi, mamlakat makroiqtisodiyotiga, uning monitar va fiskal siyosatiga aloqadorligi keng va chuqur tahlil qilinadi. Loyiha tahlilida asosiy e’tibor investitsiyalarni samaradorligiga qaratiladi va bu ko’proq investorlarni qarashini hamda davlat manfatlarini muvozanatini ifoda etadi. Shu bilan birga ushbu qo’llanmada ekologik, institutsional, ijtimoiy, makroiqtisodiy va moliyaviy iqtisodiy yondashuvlarga alohida e’tibor qaratilgan. Investitsiya loyihalarini tahlilida esa bunday ko’p qirrali yondashuv cheklangan va asosiy e’tibor investor va tijorat nuqtai nazaridan qaraladi. Shu sababli ushbu qo’llanma iqtisodiy - analitik xususiyatga ega.</w:t>
      </w:r>
    </w:p>
    <w:p w14:paraId="74B0F6F5">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Qo’llanma iqtisodiyot yo’nalishida ta’lim olinayotgan talabalarga mo’ljallangan. Undan loyihalarni tuzish va tahlil qilish bilan shug’ullanuvchilar ham foydalanishlari mumkin.</w:t>
      </w:r>
    </w:p>
    <w:p w14:paraId="421AD3FC">
      <w:pPr>
        <w:autoSpaceDE w:val="0"/>
        <w:autoSpaceDN w:val="0"/>
        <w:adjustRightInd w:val="0"/>
        <w:spacing w:after="0" w:line="240" w:lineRule="auto"/>
        <w:ind w:firstLine="709"/>
        <w:jc w:val="both"/>
        <w:rPr>
          <w:rFonts w:ascii="Times New Roman" w:hAnsi="Times New Roman" w:eastAsia="LiberationSerif-Bold" w:cs="Times New Roman"/>
          <w:b/>
          <w:bCs/>
          <w:sz w:val="28"/>
          <w:szCs w:val="28"/>
          <w:lang w:val="uz-Cyrl-UZ"/>
        </w:rPr>
      </w:pPr>
    </w:p>
    <w:p w14:paraId="210B5215">
      <w:pPr>
        <w:autoSpaceDE w:val="0"/>
        <w:autoSpaceDN w:val="0"/>
        <w:adjustRightInd w:val="0"/>
        <w:spacing w:after="0" w:line="240" w:lineRule="auto"/>
        <w:ind w:firstLine="709"/>
        <w:jc w:val="both"/>
        <w:rPr>
          <w:rFonts w:ascii="Times New Roman" w:hAnsi="Times New Roman" w:eastAsia="LiberationSerif-Bold" w:cs="Times New Roman"/>
          <w:b/>
          <w:bCs/>
          <w:sz w:val="28"/>
          <w:szCs w:val="28"/>
          <w:lang w:val="uz-Cyrl-UZ"/>
        </w:rPr>
      </w:pPr>
    </w:p>
    <w:p w14:paraId="06CF1ABB">
      <w:pPr>
        <w:autoSpaceDE w:val="0"/>
        <w:autoSpaceDN w:val="0"/>
        <w:adjustRightInd w:val="0"/>
        <w:spacing w:after="0" w:line="240" w:lineRule="auto"/>
        <w:ind w:firstLine="709"/>
        <w:jc w:val="both"/>
        <w:rPr>
          <w:rFonts w:ascii="Times New Roman" w:hAnsi="Times New Roman" w:eastAsia="LiberationSerif-Bold" w:cs="Times New Roman"/>
          <w:b/>
          <w:bCs/>
          <w:sz w:val="28"/>
          <w:szCs w:val="28"/>
          <w:lang w:val="uz-Cyrl-UZ"/>
        </w:rPr>
      </w:pPr>
    </w:p>
    <w:p w14:paraId="7060318B">
      <w:pPr>
        <w:autoSpaceDE w:val="0"/>
        <w:autoSpaceDN w:val="0"/>
        <w:adjustRightInd w:val="0"/>
        <w:spacing w:after="0" w:line="240" w:lineRule="auto"/>
        <w:ind w:firstLine="709"/>
        <w:jc w:val="both"/>
        <w:rPr>
          <w:rFonts w:ascii="Times New Roman" w:hAnsi="Times New Roman" w:eastAsia="LiberationSerif-Bold" w:cs="Times New Roman"/>
          <w:b/>
          <w:bCs/>
          <w:sz w:val="28"/>
          <w:szCs w:val="28"/>
          <w:lang w:val="uz-Cyrl-UZ"/>
        </w:rPr>
      </w:pPr>
    </w:p>
    <w:p w14:paraId="47D1ACB4">
      <w:pPr>
        <w:autoSpaceDE w:val="0"/>
        <w:autoSpaceDN w:val="0"/>
        <w:adjustRightInd w:val="0"/>
        <w:spacing w:after="0" w:line="240" w:lineRule="auto"/>
        <w:ind w:firstLine="709"/>
        <w:jc w:val="both"/>
        <w:rPr>
          <w:rFonts w:ascii="Times New Roman" w:hAnsi="Times New Roman" w:eastAsia="LiberationSerif-Bold" w:cs="Times New Roman"/>
          <w:b/>
          <w:bCs/>
          <w:sz w:val="28"/>
          <w:szCs w:val="28"/>
          <w:lang w:val="uz-Cyrl-UZ"/>
        </w:rPr>
      </w:pPr>
    </w:p>
    <w:p w14:paraId="5E8390CC">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p>
    <w:p w14:paraId="61A2CF66">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p>
    <w:p w14:paraId="731912B2">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bookmarkStart w:id="0" w:name="_GoBack"/>
      <w:bookmarkEnd w:id="0"/>
    </w:p>
    <w:p w14:paraId="77D75CDF">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p>
    <w:p w14:paraId="439DF3B6">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p>
    <w:p w14:paraId="623EBD14">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p>
    <w:p w14:paraId="7B7E2CA6">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p>
    <w:p w14:paraId="291CFA9E">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p>
    <w:p w14:paraId="53BBE875">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p>
    <w:p w14:paraId="12DA8DC6">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p>
    <w:p w14:paraId="3DE777AF">
      <w:pPr>
        <w:autoSpaceDE w:val="0"/>
        <w:autoSpaceDN w:val="0"/>
        <w:adjustRightInd w:val="0"/>
        <w:spacing w:after="0" w:line="240" w:lineRule="auto"/>
        <w:jc w:val="center"/>
        <w:rPr>
          <w:rFonts w:ascii="Times New Roman" w:hAnsi="Times New Roman" w:eastAsia="LiberationSerif-Bold" w:cs="Times New Roman"/>
          <w:b/>
          <w:bCs/>
          <w:sz w:val="28"/>
          <w:szCs w:val="28"/>
        </w:rPr>
      </w:pPr>
      <w:r>
        <w:rPr>
          <w:rFonts w:ascii="Times New Roman" w:hAnsi="Times New Roman" w:eastAsia="LiberationSerif-Bold" w:cs="Times New Roman"/>
          <w:b/>
          <w:bCs/>
          <w:sz w:val="28"/>
          <w:szCs w:val="28"/>
          <w:lang w:val="uz-Cyrl-UZ"/>
        </w:rPr>
        <w:t>11 mavzu</w:t>
      </w:r>
      <w:r>
        <w:rPr>
          <w:rFonts w:ascii="Times New Roman" w:hAnsi="Times New Roman" w:eastAsia="LiberationSerif-Bold" w:cs="Times New Roman"/>
          <w:b/>
          <w:bCs/>
          <w:sz w:val="28"/>
          <w:szCs w:val="28"/>
        </w:rPr>
        <w:t>.</w:t>
      </w:r>
      <w:r>
        <w:rPr>
          <w:rFonts w:ascii="Times New Roman" w:hAnsi="Times New Roman" w:eastAsia="LiberationSerif-Bold" w:cs="Times New Roman"/>
          <w:b/>
          <w:bCs/>
          <w:sz w:val="28"/>
          <w:szCs w:val="28"/>
          <w:lang w:val="uz-Cyrl-UZ"/>
        </w:rPr>
        <w:t xml:space="preserve"> </w:t>
      </w:r>
      <w:r>
        <w:rPr>
          <w:rFonts w:ascii="Times New Roman" w:hAnsi="Times New Roman" w:eastAsia="LiberationSerif-Bold" w:cs="Times New Roman"/>
          <w:b/>
          <w:bCs/>
          <w:sz w:val="28"/>
          <w:szCs w:val="28"/>
        </w:rPr>
        <w:t>MOLI</w:t>
      </w:r>
      <w:r>
        <w:rPr>
          <w:rFonts w:ascii="Times New Roman" w:hAnsi="Times New Roman" w:eastAsia="LiberationSerif-Bold" w:cs="Times New Roman"/>
          <w:b/>
          <w:bCs/>
          <w:sz w:val="28"/>
          <w:szCs w:val="28"/>
          <w:lang w:val="uz-Cyrl-UZ"/>
        </w:rPr>
        <w:t>Ya</w:t>
      </w:r>
      <w:r>
        <w:rPr>
          <w:rFonts w:ascii="Times New Roman" w:hAnsi="Times New Roman" w:eastAsia="LiberationSerif-Bold" w:cs="Times New Roman"/>
          <w:b/>
          <w:bCs/>
          <w:sz w:val="28"/>
          <w:szCs w:val="28"/>
        </w:rPr>
        <w:t>VIY TAHLIL</w:t>
      </w:r>
    </w:p>
    <w:p w14:paraId="78091468">
      <w:pPr>
        <w:autoSpaceDE w:val="0"/>
        <w:autoSpaceDN w:val="0"/>
        <w:adjustRightInd w:val="0"/>
        <w:spacing w:after="0" w:line="240" w:lineRule="auto"/>
        <w:jc w:val="both"/>
        <w:rPr>
          <w:rFonts w:ascii="Times New Roman" w:hAnsi="Times New Roman" w:eastAsia="LiberationSerif-Bold" w:cs="Times New Roman"/>
          <w:b/>
          <w:bCs/>
          <w:sz w:val="28"/>
          <w:szCs w:val="28"/>
          <w:lang w:val="uz-Cyrl-UZ"/>
        </w:rPr>
      </w:pPr>
    </w:p>
    <w:p w14:paraId="3E15EE6A">
      <w:pPr>
        <w:autoSpaceDE w:val="0"/>
        <w:autoSpaceDN w:val="0"/>
        <w:adjustRightInd w:val="0"/>
        <w:spacing w:after="0" w:line="240" w:lineRule="auto"/>
        <w:jc w:val="center"/>
        <w:rPr>
          <w:rFonts w:ascii="Times New Roman" w:hAnsi="Times New Roman" w:eastAsia="LiberationSerif-Bold" w:cs="Times New Roman"/>
          <w:b/>
          <w:bCs/>
          <w:sz w:val="28"/>
          <w:szCs w:val="28"/>
        </w:rPr>
      </w:pPr>
      <w:r>
        <w:rPr>
          <w:rFonts w:ascii="Times New Roman" w:hAnsi="Times New Roman" w:eastAsia="LiberationSerif-Bold" w:cs="Times New Roman"/>
          <w:b/>
          <w:bCs/>
          <w:sz w:val="28"/>
          <w:szCs w:val="28"/>
        </w:rPr>
        <w:t>11.1. Moliyaviy tahlilning mohiyati va turlari</w:t>
      </w:r>
    </w:p>
    <w:p w14:paraId="30B13D82">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p>
    <w:p w14:paraId="38F6AB57">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Loyihalarni moliyaviy tahlil qilishning metodologik asoslarini 4-6 mavzularda ko’rib chiqdik. Moliyaviy tahlilda loyihalarning metodologik asoslaridan foydalaniladi va qo’shimcha moliyaviy tahlil uslublari va yo’nalishlari mukammal ko’rib chiqiladi.</w:t>
      </w:r>
    </w:p>
    <w:p w14:paraId="2DEED76C">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Loyihani moliyaviy tahlil qilish bir necha ko’rinishga ega bo’lib, loyiha turiga qarab, ikki yoki undan ko’proq turdagi moliyaviy tahlil amalga oshirilishi mumkin.</w:t>
      </w:r>
    </w:p>
    <w:p w14:paraId="6E3CAC8D">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Moliyaviy tahlil quyidagi turlarni o’z ichiga oladi:</w:t>
      </w:r>
    </w:p>
    <w:p w14:paraId="5257EA24">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1. Moliyaviy rentabellilik tahlili.</w:t>
      </w:r>
    </w:p>
    <w:p w14:paraId="7F8BBBD9">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2. Moliyalashtirishga ehtiyoj tahlili.</w:t>
      </w:r>
    </w:p>
    <w:p w14:paraId="77517FE2">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3.Loyihani ekspluatatsiya qiluvchi tashkilotning moliyaviy tahlili.</w:t>
      </w:r>
    </w:p>
    <w:p w14:paraId="73BA288D">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4. Xarajatlarning qoplanishining tahlili.</w:t>
      </w:r>
    </w:p>
    <w:p w14:paraId="17E2AAD3">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Moliyaviy tahlilning sanab o’tilgan turlari qaysi vazifalarga ega bo’lishi, loyihaning moliyaviy jihatdan maqsadga muvofiqligi u qaysi nuqtai nazardan turib ko’rib chiqilayotganligiga bog’liq.</w:t>
      </w:r>
    </w:p>
    <w:p w14:paraId="6B25F35B">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Moliyaviy tahlilning har xil turlari loyihaning maqsadga muvofiqligini, resurslardan foydalanish samaradorligini, loyiha ishtirokchilari uchun rag’batlarni, moliyaviy rejalarning asoslanganligini, moliyaviy boshqaruvning layoqatliligi darajasini hamda loyihani amalga oshirish natijasida kutilayotgan foyda darajasini baholash uchun qo’llaniladi.</w:t>
      </w:r>
    </w:p>
    <w:p w14:paraId="442E4C2C">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U yoki bu turdagi tahlilni o’tkazish zarurati loyihaning murakkabligi darajasiga, uning xususiy sektordagi yoki davlat loyihasi ekanliligiga hamda iqtisodiyotning qaysi tarmog’iga taalluqligiga bog’liq.</w:t>
      </w:r>
    </w:p>
    <w:p w14:paraId="75ED48CC">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Moliyaviy tahlilda daromad va xarajatlarni hisoblashda:</w:t>
      </w:r>
    </w:p>
    <w:p w14:paraId="2C2CD1F3">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faqat alohida bozor baholari qo’llaniladi;</w:t>
      </w:r>
    </w:p>
    <w:p w14:paraId="7C96C0BE">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kapital xarajatlar loyihaning butun xizmat davriga taqsimlab chiqiladi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(amortizatsiya);</w:t>
      </w:r>
    </w:p>
    <w:p w14:paraId="67D41205">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soliqlar va turli guruhlar o’rtasidagi bir tomonlama to’lovlar hisobga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olinadi;</w:t>
      </w:r>
    </w:p>
    <w:p w14:paraId="41461067">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xususiy diskont stavkasi qo’llaniladi.</w:t>
      </w:r>
    </w:p>
    <w:p w14:paraId="72F9368A">
      <w:pPr>
        <w:autoSpaceDE w:val="0"/>
        <w:autoSpaceDN w:val="0"/>
        <w:adjustRightInd w:val="0"/>
        <w:spacing w:after="0" w:line="240" w:lineRule="auto"/>
        <w:jc w:val="both"/>
        <w:rPr>
          <w:rFonts w:ascii="Times New Roman" w:hAnsi="Times New Roman" w:eastAsia="LiberationSerif-Bold" w:cs="Times New Roman"/>
          <w:b/>
          <w:bCs/>
          <w:sz w:val="28"/>
          <w:szCs w:val="28"/>
          <w:lang w:val="uz-Cyrl-UZ"/>
        </w:rPr>
      </w:pPr>
    </w:p>
    <w:p w14:paraId="30DE8D26">
      <w:pPr>
        <w:autoSpaceDE w:val="0"/>
        <w:autoSpaceDN w:val="0"/>
        <w:adjustRightInd w:val="0"/>
        <w:spacing w:after="0" w:line="240" w:lineRule="auto"/>
        <w:jc w:val="center"/>
        <w:rPr>
          <w:rFonts w:ascii="Times New Roman" w:hAnsi="Times New Roman" w:eastAsia="LiberationSerif-Bold" w:cs="Times New Roman"/>
          <w:b/>
          <w:bCs/>
          <w:sz w:val="28"/>
          <w:szCs w:val="28"/>
          <w:lang w:val="en-US"/>
        </w:rPr>
      </w:pPr>
      <w:r>
        <w:rPr>
          <w:rFonts w:ascii="Times New Roman" w:hAnsi="Times New Roman" w:eastAsia="LiberationSerif-Bold" w:cs="Times New Roman"/>
          <w:b/>
          <w:bCs/>
          <w:sz w:val="28"/>
          <w:szCs w:val="28"/>
          <w:lang w:val="en-US"/>
        </w:rPr>
        <w:t>11.2. Moliyaviy rentabellilik tahlili</w:t>
      </w:r>
    </w:p>
    <w:p w14:paraId="41EC0023">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p>
    <w:p w14:paraId="2260E441">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Moliyaviy rentabellilik tahlilining maqsadi loyihaning hayot davri davomida investitsiyalardan keladigan samarani baholashdan iborat. Bu tahlilni ba’zida loyihaning moliyaviy maqsadga muvofiqligi tahlili deb ham yuritiladi. Bu tahlilni o’tkazishning uslubiy asoslari 4-5 mavzularda ko’rib chiqilgan. Shu asosga tayanilgan holda rentabellilik ko’rsatkichlari hisoblab chiqiladi.</w:t>
      </w:r>
    </w:p>
    <w:p w14:paraId="3C0EB8CE">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Bu tahlil avvalo loyihadagi pul tushumlari va chiqimlari oqimiga asoslangan holda o’tkaziladi va ana shu oqimlar tahlil qilinadi. Bunda e’tibor loyihani amalga oshiruvchi tashkilotlarga (ularning moliyaviy holatiga) emas, balki loyihaning o’ziga qaratiladi. Moliyaviy rentabellilik tahlili tovarlar va xizmatlar savdosini amalga oshiruvchi loyihalar uchun o’ta muhim, lekin kommunal xizmat ko’rsatuvchi va davlatdan qisman dotatsiya olib ishlovchi tashkilotlar uchun uncha ham muhim emas.</w:t>
      </w:r>
    </w:p>
    <w:p w14:paraId="4A0F90DE">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Xarajatlarni qoplash tahlili rentabellilik tahlilining deyarli xuddi o’zi bo’lib, davlat xarajatlari foydalanuvchilar to’lovlari va soliqlar hisobiga qoplanadigan loyihalar uchun qo’llaniladi.</w:t>
      </w:r>
    </w:p>
    <w:p w14:paraId="438AFA31">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Moliyaviy rentabellilik tahlilida xarajatlar va daromadlar qo’yilgan maqsaddan kelib chiqib aniqlanadi. Xarajatlarni firma yoki ijrochi tashkilotning foydasini kamaytiruvchi moliyaviy oqimlar tashkil etsa, daromadlarni foyda yoki daromadni ko’paytiruvchi moliyaviy oqimlar tashkil etadi.</w:t>
      </w:r>
    </w:p>
    <w:p w14:paraId="3EE2310C">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Xarajatlar va daromadlar oqimlarini loyihalashtirish uchun ishlab chiqarish faoliyatining texnik darajasini belgilab olish, investitsiyalardan ko’zda tutilgan texnik resurslarning loyihaga kirish va chiqishdagi oqimini, loyihalarning bozor va ma’muriy o’rnatiladigan baholarda hisoblangan natijalarini aniqlab olish talab etiladi.</w:t>
      </w:r>
    </w:p>
    <w:p w14:paraId="0567C1A2">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Tushumlar oqimi mahsulot sotish (xizmat ko’rsatish) hajmini ularning xarid baholariga ko’paytirib topiladi. Xarajatlar oqimi esa ishlab chiqarishda foydalanilgan moddiy resurslar va xizmatlar miqdorini ularni sotib olish bahosiga ko’paytirib topiladi. Bunday baholash loyihaning butun yashash davriga, har bir yil uchun o’tkaziladi.</w:t>
      </w:r>
    </w:p>
    <w:p w14:paraId="5642F076">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Loyiha uchun zarur resurslar va undan kutilayotgan natijalarni baholashda: birinchidan, ichki va tashqi bozorda yaqinda bo’lib o’tgan bitimlarda qo’llanilgan amaldagi baholar asosida real bozor baholarini; ikkinchidan, kelgusidagi baholarni prognoz qilish lozim.(5-ilova qarang).</w:t>
      </w:r>
    </w:p>
    <w:p w14:paraId="2F110136">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Odatda, iqtisodiy va moliyaviy tahlilni o’tkazishda inflyatsiya ta’siridan tozalangan doimiy baholar, shuningdek, inflyatsiya ta’siridan tozalangan diskont koeffitsienti qo’llaniladi.</w:t>
      </w:r>
    </w:p>
    <w:p w14:paraId="401B9838">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Loyiha bo’yicha ishlab chiqarilgan tovar (ko’rsatilgan xizmat)lar uchun tushgan barcha to’lovlar, debitorlik qarzlari, subsidiyalar va boshqa daromadlar (ijara haqi va boshqalar) loyiha bo’yicha tushumlarga kiritiladi va uning umumiy samarasini ko’rsatadi.</w:t>
      </w:r>
    </w:p>
    <w:p w14:paraId="423363C1">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 xml:space="preserve">Xarajatlar o’z ichiga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kspluatatsiya va kapital xarajatlarini oladi.</w:t>
      </w:r>
    </w:p>
    <w:p w14:paraId="0A28DABB">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kspluatatsiya xarajatlariga ish haqi, material, yoqilg’i xarajatlari, ijara haqi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to’lovlari, kommunal to’lovlar, umumiy va ma’muriy xarajatlar, soliqlar, joriy</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ta’mirlash xarajatlari, hali to’lanmagan, ammo hisobga olingan kreditorlik qarzlari va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boshqalar kiradi. Kapital xarajatlarga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sa investitsiyalar, loyiha fondlarini alishtirish,</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modernizatsiya qilish va kapital ta’mirlash xarajatlari kiradi.</w:t>
      </w:r>
    </w:p>
    <w:p w14:paraId="17769A4F">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Pul oqimlari baholab bo’lingandan so’ng rentabellilik ko’rsatkichlari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kalkulyatsiya qilinadi, loyihalashtirilayotgan tushumlar va xarajatlar diskontlanadi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va ilovada keltirilgan ko’rsatkichlar hisoblanadi. Moliyaviy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htiyojni tahlil qilishda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loyihani amalga oshirishga ketadigan aylanma mablag’lar alohida valyutada hamda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so’mda hisoblanadi. O’zbekiston sharoitida aylanma mablag’larni valyutada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shakllantirish ayniqsa katta amaliy ahamiyatga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ga. Agar loyihada aylanma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mablag’lar valyutada to’g’ri rejalashtirilmasa, loyiha muammoga duch keladi. Misol</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uchun, loyiha mahsulotining ingredientlari import qilinsa, uni sotib olish uchun</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valyuta ko’rinishidagi aylanma mablag’lar etarli bo’lishi kerak. </w:t>
      </w:r>
      <w:r>
        <w:rPr>
          <w:rFonts w:ascii="Times New Roman" w:hAnsi="Times New Roman" w:eastAsia="LiberationSerif-Bold" w:cs="Times New Roman"/>
          <w:sz w:val="28"/>
          <w:szCs w:val="28"/>
          <w:lang w:val="uz-Cyrl-UZ"/>
        </w:rPr>
        <w:t>Sh</w:t>
      </w:r>
      <w:r>
        <w:rPr>
          <w:rFonts w:ascii="Times New Roman" w:hAnsi="Times New Roman" w:eastAsia="LiberationSerif-Bold" w:cs="Times New Roman"/>
          <w:sz w:val="28"/>
          <w:szCs w:val="28"/>
          <w:lang w:val="en-US"/>
        </w:rPr>
        <w:t>unda mahsulot</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ingredientlarni sotib olishda muammoga duch kelinmaydi. Ba’zi loyihalarda aylanma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mablag’lar so’mda etarli bo’lsa-da valyutada etarli bo’lmagani uchun korxonalar</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ingredientlarni import qila olmaydi. Natijada ishlab chiqarish to’xtab qoladi.</w:t>
      </w:r>
    </w:p>
    <w:p w14:paraId="549EF387">
      <w:pPr>
        <w:autoSpaceDE w:val="0"/>
        <w:autoSpaceDN w:val="0"/>
        <w:adjustRightInd w:val="0"/>
        <w:spacing w:after="0" w:line="240" w:lineRule="auto"/>
        <w:jc w:val="both"/>
        <w:rPr>
          <w:rFonts w:ascii="Times New Roman" w:hAnsi="Times New Roman" w:eastAsia="LiberationSerif-Bold" w:cs="Times New Roman"/>
          <w:sz w:val="28"/>
          <w:szCs w:val="28"/>
          <w:lang w:val="uz-Cyrl-UZ"/>
        </w:rPr>
      </w:pPr>
    </w:p>
    <w:p w14:paraId="1BB2AD45">
      <w:pPr>
        <w:autoSpaceDE w:val="0"/>
        <w:autoSpaceDN w:val="0"/>
        <w:adjustRightInd w:val="0"/>
        <w:spacing w:after="0" w:line="240" w:lineRule="auto"/>
        <w:jc w:val="center"/>
        <w:rPr>
          <w:rFonts w:ascii="Times New Roman" w:hAnsi="Times New Roman" w:eastAsia="LiberationSerif-Bold" w:cs="Times New Roman"/>
          <w:b/>
          <w:bCs/>
          <w:sz w:val="28"/>
          <w:szCs w:val="28"/>
          <w:lang w:val="en-US"/>
        </w:rPr>
      </w:pPr>
      <w:r>
        <w:rPr>
          <w:rFonts w:ascii="Times New Roman" w:hAnsi="Times New Roman" w:eastAsia="LiberationSerif-Bold" w:cs="Times New Roman"/>
          <w:b/>
          <w:bCs/>
          <w:sz w:val="28"/>
          <w:szCs w:val="28"/>
          <w:lang w:val="en-US"/>
        </w:rPr>
        <w:t xml:space="preserve">11.3. Moliyalashtirishga </w:t>
      </w:r>
      <w:r>
        <w:rPr>
          <w:rFonts w:ascii="Times New Roman" w:hAnsi="Times New Roman" w:eastAsia="LiberationSerif-Bold" w:cs="Times New Roman"/>
          <w:b/>
          <w:bCs/>
          <w:sz w:val="28"/>
          <w:szCs w:val="28"/>
          <w:lang w:val="uz-Cyrl-UZ"/>
        </w:rPr>
        <w:t>e</w:t>
      </w:r>
      <w:r>
        <w:rPr>
          <w:rFonts w:ascii="Times New Roman" w:hAnsi="Times New Roman" w:eastAsia="LiberationSerif-Bold" w:cs="Times New Roman"/>
          <w:b/>
          <w:bCs/>
          <w:sz w:val="28"/>
          <w:szCs w:val="28"/>
          <w:lang w:val="en-US"/>
        </w:rPr>
        <w:t>htiyoj tahlili</w:t>
      </w:r>
    </w:p>
    <w:p w14:paraId="09C27BC9">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p>
    <w:p w14:paraId="07FFE3B8">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Loyihaning moliyalashtirishga ehtiyojini aniqlashda avvalo milliy valyuta bilan loyiha xarajatlarini qoplash imkoniyatlari o’rganiladi. Milliy valyuta yordamida loyiha xarajatlari qoplansa loyihaning valyuta bilan bog’liqligi kamayadi va uning xatari kamayadi. Milliy valyuta bilan xarajatlarni qoplash mutlaqo ilojsiz bo’lgan holda valyuta bilan xarajatlarni qoplanishi rejalashtiriladi. Loyiha Milliy iqtisod manfaatlariga mos kelishini albatta hisobga olinishi shart.</w:t>
      </w:r>
    </w:p>
    <w:p w14:paraId="70C1737C">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Loyihani moliyalashtirish ikki manba’ hisobidan amalga oshirilishi mumkin.</w:t>
      </w:r>
    </w:p>
    <w:p w14:paraId="1FB72EA8">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1. O’z mablag’lari.</w:t>
      </w:r>
    </w:p>
    <w:p w14:paraId="1FE4A9D4">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2. Qarzga olingan mablag’lar.</w:t>
      </w:r>
    </w:p>
    <w:p w14:paraId="27DD0BA7">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Eng avvalo o’z mablag’lari hisobiga loyihani moliyalashtirish imkoniyatlari tahlil qilinadi. Bunda investitsiyalashga ketgan mablag’lar aylanma kapitalni kamayishiga va shu bilan bog’liq muammolarga olib kelmasligi kerak.</w:t>
      </w:r>
    </w:p>
    <w:p w14:paraId="49E85E4E">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Moliyalashtirishga ehtiyoj tahlili loyihani investitsiyalash va uni ekspluatatsiya qilish uchun kerak bo’lgan barcha moliyaviy ehtiyojlarni prognoz qilishni o’z ichiga oladi.</w:t>
      </w:r>
    </w:p>
    <w:p w14:paraId="36FE7056">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Bu esa zarur resurslar kelib tushishini ta’minlaydigan moliyaviy reja tuzish imkonini beradi. Moliyaviy rejani tayyorlashda xorijiy kreditorlar talablarini bajarishni engillashtirish uchun xorijiy valyutaga bo’lgan ehtiyoj alohida ko’rsatiladi.</w:t>
      </w:r>
    </w:p>
    <w:p w14:paraId="63235B23">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Moliyaviy rejada, shuningdek, moliyalashtirishning mahalliy manbalari, loyiha uchun mas’ul bo’lgan tashkilotning o’z mablag’lari va fondlari, davlat va tijorat tashkilotlaridan olinishi mumkin bo’lgan qarzlar ham e’tiborga olinadi. Moliyaviy rejada loyihani ekspluatatsiya qilish davri xarajatlari o’z aksini topmasa, ekspluatatsiya qilish, joriy xizmat ko’rsatish va ta’mirlash uchun fondlar yo’qligi tufayli loyiha uskunalari eskirib, tezda yaroqsiz holga kelib qoladi.</w:t>
      </w:r>
    </w:p>
    <w:p w14:paraId="73AF81E8">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Moliyaviy reja loyihadan manfaat ko’ruvchilarning u taklif etayotgan mahsulotni sotib olish qobiliyatini hisobga olishi zarur. Moliyaviy reja joriy baholarda tuzilishi hamda yillar bo’yicha loyihaning butun amal qilish davriga quyidagilarni ko’rsatishi kerak:</w:t>
      </w:r>
    </w:p>
    <w:p w14:paraId="33148C6A">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 mo’ljallanayotgan kapital mablag’lar va ekspluatatsiya xarajatlari (shu jumladan, baho va fizik ko’rsatkichlarning ko’zda tutilmagan o’zgarishlari hisobga olib kiritilgan tuzatishlar);</w:t>
      </w:r>
    </w:p>
    <w:p w14:paraId="38A264D4">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loyiha mahsulotini sotish va boshqa manbalardan keladigan daromad;</w:t>
      </w:r>
    </w:p>
    <w:p w14:paraId="0DC18C38">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qarzlarni, investitsiyalarni va loyihaning boshqa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htiyojlarini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qoplashning boshqa manbaalari.</w:t>
      </w:r>
    </w:p>
    <w:p w14:paraId="63AE5C6D">
      <w:pPr>
        <w:autoSpaceDE w:val="0"/>
        <w:autoSpaceDN w:val="0"/>
        <w:adjustRightInd w:val="0"/>
        <w:spacing w:after="0" w:line="240" w:lineRule="auto"/>
        <w:jc w:val="both"/>
        <w:rPr>
          <w:rFonts w:ascii="Times New Roman" w:hAnsi="Times New Roman" w:eastAsia="LiberationSerif-Bold" w:cs="Times New Roman"/>
          <w:b/>
          <w:bCs/>
          <w:sz w:val="28"/>
          <w:szCs w:val="28"/>
          <w:lang w:val="uz-Cyrl-UZ"/>
        </w:rPr>
      </w:pPr>
    </w:p>
    <w:p w14:paraId="4622EEF0">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r>
        <w:rPr>
          <w:rFonts w:ascii="Times New Roman" w:hAnsi="Times New Roman" w:eastAsia="LiberationSerif-Bold" w:cs="Times New Roman"/>
          <w:b/>
          <w:bCs/>
          <w:sz w:val="28"/>
          <w:szCs w:val="28"/>
          <w:lang w:val="uz-Cyrl-UZ"/>
        </w:rPr>
        <w:t>11.4. Loyihani ekspluatatsiya qiluvchi tashkilotning</w:t>
      </w:r>
    </w:p>
    <w:p w14:paraId="30FC07FA">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r>
        <w:rPr>
          <w:rFonts w:ascii="Times New Roman" w:hAnsi="Times New Roman" w:eastAsia="LiberationSerif-Bold" w:cs="Times New Roman"/>
          <w:b/>
          <w:bCs/>
          <w:sz w:val="28"/>
          <w:szCs w:val="28"/>
          <w:lang w:val="uz-Cyrl-UZ"/>
        </w:rPr>
        <w:t>moliyaviy tahlili</w:t>
      </w:r>
    </w:p>
    <w:p w14:paraId="7923EB3E">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p>
    <w:p w14:paraId="0A93B9DF">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Loyihani ekspluatatsiya qiluvchi tashkilotni moliyaviy holati ishonarli va barqaror bo’lishi kerak. Shuning uchun bu masalaga alohida e’tibor qaratiladi.</w:t>
      </w:r>
    </w:p>
    <w:p w14:paraId="45CF70C9">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Loyihani ekspluatatsiya qiluvchi tashkilotni moliyaviy tahliliga uchta moliyaviy hisobotni tayyorlash, tahlil etish va prognoz qilish kiradi:</w:t>
      </w:r>
    </w:p>
    <w:p w14:paraId="5947E327">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daromadlar</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(foyda va zararlar) hisoboti;</w:t>
      </w:r>
    </w:p>
    <w:p w14:paraId="0FBA5B0C">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pul mablag’lari tushumlari va chiqimlari hisoboti;</w:t>
      </w:r>
    </w:p>
    <w:p w14:paraId="1FB2B2D5">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balans hisoboti.</w:t>
      </w:r>
    </w:p>
    <w:p w14:paraId="4AA2A7BE">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Bu hisobotlar loyihaning butun amalda bo’ladigan davri yoki hech</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bo’lmaganda uni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kspluatatsiya qilishning dastlabki bir necha yiliga tuziladi.</w:t>
      </w:r>
    </w:p>
    <w:p w14:paraId="79E814CC">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Ko’rsatilgan moliyaviy hisobotlarni prognoz qilish ularning barcha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komponentlarini chuqur tahlil qilish, buxgalteriya hisobi va moliyaviy hisobotlarning</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umumiy qabul qilingan qoidalarini bilishni talab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 xml:space="preserve">tadi. </w:t>
      </w:r>
      <w:r>
        <w:rPr>
          <w:rFonts w:ascii="Times New Roman" w:hAnsi="Times New Roman" w:eastAsia="LiberationSerif-Bold" w:cs="Times New Roman"/>
          <w:sz w:val="28"/>
          <w:szCs w:val="28"/>
          <w:lang w:val="uz-Cyrl-UZ"/>
        </w:rPr>
        <w:t>Sh</w:t>
      </w:r>
      <w:r>
        <w:rPr>
          <w:rFonts w:ascii="Times New Roman" w:hAnsi="Times New Roman" w:eastAsia="LiberationSerif-Bold" w:cs="Times New Roman"/>
          <w:sz w:val="28"/>
          <w:szCs w:val="28"/>
          <w:lang w:val="en-US"/>
        </w:rPr>
        <w:t>u tufayli bu ishni tajribali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buxgalter</w:t>
      </w:r>
      <w:r>
        <w:rPr>
          <w:rFonts w:ascii="Times New Roman" w:hAnsi="Times New Roman" w:eastAsia="LiberationSerif-Bold" w:cs="Times New Roman"/>
          <w:sz w:val="28"/>
          <w:szCs w:val="28"/>
          <w:lang w:val="uz-Cyrl-UZ"/>
        </w:rPr>
        <w:t>,</w:t>
      </w:r>
      <w:r>
        <w:rPr>
          <w:rFonts w:ascii="Times New Roman" w:hAnsi="Times New Roman" w:eastAsia="LiberationSerif-Bold" w:cs="Times New Roman"/>
          <w:sz w:val="28"/>
          <w:szCs w:val="28"/>
          <w:lang w:val="en-US"/>
        </w:rPr>
        <w:t xml:space="preserve"> auditorlarga yoki moliyaviy tahlilchiga topshirish kerak.</w:t>
      </w:r>
    </w:p>
    <w:p w14:paraId="5833AA87">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Foyda va zararlar hisoboti korxonaning ma’lum davrdagi (chorak, yil) ishlab</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chiqarish faoliyatidan olgan daromadlarini shu davrdagi qilingan va daromad olish</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bilan bog’liq bo’lgan xarajatlari o’rtasidagi nisbatni ko’rsatadi. Bu hisobot joriy</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xo’jalik faoliyati samaradorligi, loyihaning o’z kapitalini oshirish zahiralarini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baholash uchun zarur. Bu shaklning yana bir vazifasi turli soliq to’lovlari va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dividendlar miqdorini aniqlashdan iborat.</w:t>
      </w:r>
    </w:p>
    <w:p w14:paraId="62609779">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r>
        <w:rPr>
          <w:rFonts w:ascii="Times New Roman" w:hAnsi="Times New Roman" w:eastAsia="LiberationSerif-Bold" w:cs="Times New Roman"/>
          <w:b/>
          <w:bCs/>
          <w:sz w:val="28"/>
          <w:szCs w:val="28"/>
          <w:lang w:val="en-US"/>
        </w:rPr>
        <w:t>Korxonaning moliyaviy hisob tizimi ma’lumotlari</w:t>
      </w:r>
    </w:p>
    <w:p w14:paraId="6E7DCE84">
      <w:pPr>
        <w:autoSpaceDE w:val="0"/>
        <w:autoSpaceDN w:val="0"/>
        <w:adjustRightInd w:val="0"/>
        <w:spacing w:after="0" w:line="240" w:lineRule="auto"/>
        <w:jc w:val="both"/>
        <w:rPr>
          <w:rFonts w:ascii="Times New Roman" w:hAnsi="Times New Roman" w:eastAsia="LiberationSerif-Bold" w:cs="Times New Roman"/>
          <w:b/>
          <w:bCs/>
          <w:sz w:val="28"/>
          <w:szCs w:val="28"/>
          <w:lang w:val="uz-Cyrl-UZ"/>
        </w:rPr>
      </w:pPr>
      <w:r>
        <w:rPr>
          <w:rFonts w:ascii="Times New Roman" w:hAnsi="Times New Roman" w:eastAsia="LiberationSerif-Bold" w:cs="Times New Roman"/>
          <w:b/>
          <w:bCs/>
          <w:sz w:val="28"/>
          <w:szCs w:val="28"/>
        </w:rPr>
        <w:pict>
          <v:rect id="_x0000_s1028" o:spid="_x0000_s1028" o:spt="1" style="position:absolute;left:0pt;margin-left:345.9pt;margin-top:5.85pt;height:37.1pt;width:117.1pt;z-index:251661312;mso-width-relative:page;mso-height-relative:page;" coordsize="21600,21600">
            <v:path/>
            <v:fill focussize="0,0"/>
            <v:stroke/>
            <v:imagedata o:title=""/>
            <o:lock v:ext="edit"/>
            <v:textbox>
              <w:txbxContent>
                <w:p w14:paraId="77496D31">
                  <w:pPr>
                    <w:jc w:val="center"/>
                    <w:rPr>
                      <w:rFonts w:ascii="Times New Roman" w:hAnsi="Times New Roman" w:cs="Times New Roman"/>
                      <w:sz w:val="24"/>
                      <w:szCs w:val="24"/>
                      <w:lang w:val="uz-Cyrl-UZ"/>
                    </w:rPr>
                  </w:pPr>
                  <w:r>
                    <w:rPr>
                      <w:rFonts w:ascii="Times New Roman" w:hAnsi="Times New Roman" w:cs="Times New Roman"/>
                      <w:sz w:val="24"/>
                      <w:szCs w:val="24"/>
                      <w:lang w:val="uz-Cyrl-UZ"/>
                    </w:rPr>
                    <w:t>Пул кирими ва чиқими ҳисоботи</w:t>
                  </w:r>
                </w:p>
              </w:txbxContent>
            </v:textbox>
          </v:rect>
        </w:pict>
      </w:r>
      <w:r>
        <w:rPr>
          <w:rFonts w:ascii="Times New Roman" w:hAnsi="Times New Roman" w:eastAsia="LiberationSerif-Bold" w:cs="Times New Roman"/>
          <w:b/>
          <w:bCs/>
          <w:sz w:val="28"/>
          <w:szCs w:val="28"/>
        </w:rPr>
        <w:pict>
          <v:rect id="_x0000_s1027" o:spid="_x0000_s1027" o:spt="1" style="position:absolute;left:0pt;margin-left:170.7pt;margin-top:5.85pt;height:37.1pt;width:111.25pt;z-index:251660288;mso-width-relative:page;mso-height-relative:page;" coordsize="21600,21600">
            <v:path/>
            <v:fill focussize="0,0"/>
            <v:stroke/>
            <v:imagedata o:title=""/>
            <o:lock v:ext="edit"/>
            <v:textbox>
              <w:txbxContent>
                <w:p w14:paraId="7D27E030">
                  <w:pPr>
                    <w:jc w:val="center"/>
                    <w:rPr>
                      <w:rFonts w:ascii="Times New Roman" w:hAnsi="Times New Roman" w:cs="Times New Roman"/>
                      <w:sz w:val="24"/>
                      <w:szCs w:val="24"/>
                      <w:lang w:val="uz-Cyrl-UZ"/>
                    </w:rPr>
                  </w:pPr>
                  <w:r>
                    <w:rPr>
                      <w:rFonts w:ascii="Times New Roman" w:hAnsi="Times New Roman" w:cs="Times New Roman"/>
                      <w:sz w:val="24"/>
                      <w:szCs w:val="24"/>
                      <w:lang w:val="uz-Cyrl-UZ"/>
                    </w:rPr>
                    <w:t>Фойда ва зарарлар ҳисоботи</w:t>
                  </w:r>
                </w:p>
              </w:txbxContent>
            </v:textbox>
          </v:rect>
        </w:pict>
      </w:r>
      <w:r>
        <w:rPr>
          <w:rFonts w:ascii="Times New Roman" w:hAnsi="Times New Roman" w:eastAsia="LiberationSerif-Bold" w:cs="Times New Roman"/>
          <w:b/>
          <w:bCs/>
          <w:sz w:val="28"/>
          <w:szCs w:val="28"/>
        </w:rPr>
        <w:pict>
          <v:rect id="_x0000_s1026" o:spid="_x0000_s1026" o:spt="1" style="position:absolute;left:0pt;margin-left:3pt;margin-top:5.85pt;height:37.1pt;width:84.95pt;z-index:251659264;mso-width-relative:page;mso-height-relative:page;" coordsize="21600,21600">
            <v:path/>
            <v:fill focussize="0,0"/>
            <v:stroke/>
            <v:imagedata o:title=""/>
            <o:lock v:ext="edit"/>
            <v:textbox>
              <w:txbxContent>
                <w:p w14:paraId="4D19D7DC">
                  <w:pPr>
                    <w:jc w:val="center"/>
                    <w:rPr>
                      <w:rFonts w:ascii="Times New Roman" w:hAnsi="Times New Roman" w:cs="Times New Roman"/>
                      <w:sz w:val="24"/>
                      <w:szCs w:val="24"/>
                      <w:lang w:val="uz-Cyrl-UZ"/>
                    </w:rPr>
                  </w:pPr>
                  <w:r>
                    <w:rPr>
                      <w:rFonts w:ascii="Times New Roman" w:hAnsi="Times New Roman" w:cs="Times New Roman"/>
                      <w:sz w:val="24"/>
                      <w:szCs w:val="24"/>
                      <w:lang w:val="uz-Cyrl-UZ"/>
                    </w:rPr>
                    <w:t>Баланс ҳисоботи</w:t>
                  </w:r>
                </w:p>
              </w:txbxContent>
            </v:textbox>
          </v:rect>
        </w:pict>
      </w:r>
    </w:p>
    <w:p w14:paraId="13F86FFE">
      <w:pPr>
        <w:autoSpaceDE w:val="0"/>
        <w:autoSpaceDN w:val="0"/>
        <w:adjustRightInd w:val="0"/>
        <w:spacing w:after="0" w:line="240" w:lineRule="auto"/>
        <w:jc w:val="both"/>
        <w:rPr>
          <w:rFonts w:ascii="Times New Roman" w:hAnsi="Times New Roman" w:eastAsia="LiberationSerif-Bold" w:cs="Times New Roman"/>
          <w:b/>
          <w:bCs/>
          <w:sz w:val="28"/>
          <w:szCs w:val="28"/>
          <w:lang w:val="uz-Cyrl-UZ"/>
        </w:rPr>
      </w:pPr>
      <w:r>
        <w:rPr>
          <w:rFonts w:ascii="Times New Roman" w:hAnsi="Times New Roman" w:eastAsia="LiberationSerif-Bold" w:cs="Times New Roman"/>
          <w:b/>
          <w:bCs/>
          <w:sz w:val="28"/>
          <w:szCs w:val="28"/>
        </w:rPr>
        <w:pict>
          <v:shape id="_x0000_s1030" o:spid="_x0000_s1030" o:spt="32" type="#_x0000_t32" style="position:absolute;left:0pt;margin-left:281.95pt;margin-top:8.05pt;height:0pt;width:63.95pt;z-index:251663360;mso-width-relative:page;mso-height-relative:page;" o:connectortype="straight" filled="f" coordsize="21600,21600">
            <v:path arrowok="t"/>
            <v:fill on="f" focussize="0,0"/>
            <v:stroke endarrow="block"/>
            <v:imagedata o:title=""/>
            <o:lock v:ext="edit"/>
          </v:shape>
        </w:pict>
      </w:r>
      <w:r>
        <w:rPr>
          <w:rFonts w:ascii="Times New Roman" w:hAnsi="Times New Roman" w:eastAsia="LiberationSerif-Bold" w:cs="Times New Roman"/>
          <w:b/>
          <w:bCs/>
          <w:sz w:val="28"/>
          <w:szCs w:val="28"/>
        </w:rPr>
        <w:pict>
          <v:shape id="_x0000_s1029" o:spid="_x0000_s1029" o:spt="32" type="#_x0000_t32" style="position:absolute;left:0pt;margin-left:87.95pt;margin-top:8.05pt;height:0pt;width:82.75pt;z-index:251662336;mso-width-relative:page;mso-height-relative:page;" o:connectortype="straight" filled="f" coordsize="21600,21600">
            <v:path arrowok="t"/>
            <v:fill on="f" focussize="0,0"/>
            <v:stroke endarrow="block"/>
            <v:imagedata o:title=""/>
            <o:lock v:ext="edit"/>
          </v:shape>
        </w:pict>
      </w:r>
    </w:p>
    <w:p w14:paraId="3DAF95DC">
      <w:pPr>
        <w:autoSpaceDE w:val="0"/>
        <w:autoSpaceDN w:val="0"/>
        <w:adjustRightInd w:val="0"/>
        <w:spacing w:after="0" w:line="240" w:lineRule="auto"/>
        <w:jc w:val="both"/>
        <w:rPr>
          <w:rFonts w:ascii="Times New Roman" w:hAnsi="Times New Roman" w:eastAsia="LiberationSerif-Bold" w:cs="Times New Roman"/>
          <w:b/>
          <w:bCs/>
          <w:sz w:val="28"/>
          <w:szCs w:val="28"/>
          <w:lang w:val="uz-Cyrl-UZ"/>
        </w:rPr>
      </w:pPr>
    </w:p>
    <w:p w14:paraId="40409819">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Bu hisobotlar quyidagilarga taqdim qilinadi:</w:t>
      </w:r>
    </w:p>
    <w:p w14:paraId="54517E7C">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1. Ichki guruh</w:t>
      </w:r>
    </w:p>
    <w:p w14:paraId="70B7E836">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ta’sischilar;</w:t>
      </w:r>
    </w:p>
    <w:p w14:paraId="218228F3">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boshqaruvchilar;</w:t>
      </w:r>
    </w:p>
    <w:p w14:paraId="4F1ED7EE">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ichki auditorlar.</w:t>
      </w:r>
    </w:p>
    <w:p w14:paraId="71DAAC31">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2. Tashqi guruh</w:t>
      </w:r>
    </w:p>
    <w:p w14:paraId="16C28D46">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investorlar;</w:t>
      </w:r>
    </w:p>
    <w:p w14:paraId="54BD2622">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kasaba uyushmalari;</w:t>
      </w:r>
    </w:p>
    <w:p w14:paraId="5EB12EE0">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soliq inspektsiyasi;</w:t>
      </w:r>
    </w:p>
    <w:p w14:paraId="41B09512">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kreditorlar;</w:t>
      </w:r>
    </w:p>
    <w:p w14:paraId="2A8103AB">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jamoat tashkilotlari;</w:t>
      </w:r>
    </w:p>
    <w:p w14:paraId="0AADDCB2">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tashqi auditorlar.</w:t>
      </w:r>
    </w:p>
    <w:p w14:paraId="4E38C325">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Pul mablag’lari tushumi va xarajati hisoboti hisobot davrida pul mablag’larini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boshqarishni xarakterlaydi va hisobot yilida tashkilotning pul tushumlari va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chiqimlarini hisoblash uchun xizmat qiladi. Ba’zida bu hisobot likvidlilikning</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harakati hisoboti, pul mablag’lari harakati hisoboti deb ham yuritiladi.</w:t>
      </w:r>
    </w:p>
    <w:p w14:paraId="09E38846">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Bunday hisobotning tayyorlanishi zarurati shu bilan izohlanadiki, foyda va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zararlar hisobotida pul mablag’larining shu davridagi harakati to’liq aks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ttirilmaydi.</w:t>
      </w:r>
    </w:p>
    <w:p w14:paraId="0FC8D4BB">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Balans hisoboti boshqa hisobotlardan farqli ravishda korxonaning ma’lum bir</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davr uchun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 xml:space="preserve">mas, balki aniq sanadagi holatini aks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ttiradi (6-7</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ilovalarga qarang).</w:t>
      </w:r>
    </w:p>
    <w:p w14:paraId="5D3F6100">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Balans hisoboti yoki an’anaviy buxgalteriya hisoboti ma’lum sanada korxona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ixtiyorida nimalar borligi va uning manbalarini ko’rsatib boradi.</w:t>
      </w:r>
    </w:p>
    <w:p w14:paraId="433874A0">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Loyiha amaliyotida umumlashtirilgan ko’rinishdagi balansdan foydalaniladi.</w:t>
      </w:r>
    </w:p>
    <w:p w14:paraId="4DD5E5E2">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Hisobot shakllaridan foydalangan holda zarur moliyaviy ko</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ffitsientlar</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hisoblanadi va yillar bo’yicha bu ko</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ffitsientlar o’zgarishi tahlil qilinib muammo va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zahiralar aniqlanadi:</w:t>
      </w:r>
    </w:p>
    <w:p w14:paraId="58721AF9">
      <w:pPr>
        <w:autoSpaceDE w:val="0"/>
        <w:autoSpaceDN w:val="0"/>
        <w:adjustRightInd w:val="0"/>
        <w:spacing w:after="0" w:line="240" w:lineRule="auto"/>
        <w:jc w:val="center"/>
        <w:rPr>
          <w:rFonts w:ascii="Times New Roman" w:hAnsi="Times New Roman" w:eastAsia="LiberationSerif-Bold" w:cs="Times New Roman"/>
          <w:b/>
          <w:bCs/>
          <w:sz w:val="28"/>
          <w:szCs w:val="28"/>
          <w:lang w:val="en-US"/>
        </w:rPr>
      </w:pPr>
      <w:r>
        <w:rPr>
          <w:rFonts w:ascii="Times New Roman" w:hAnsi="Times New Roman" w:eastAsia="LiberationSerif-Bold" w:cs="Times New Roman"/>
          <w:b/>
          <w:bCs/>
          <w:sz w:val="28"/>
          <w:szCs w:val="28"/>
          <w:lang w:val="en-US"/>
        </w:rPr>
        <w:t>Moliyaviy holatni baholash uchun qo’llaniladigan ko</w:t>
      </w:r>
      <w:r>
        <w:rPr>
          <w:rFonts w:ascii="Times New Roman" w:hAnsi="Times New Roman" w:eastAsia="LiberationSerif-Bold" w:cs="Times New Roman"/>
          <w:b/>
          <w:bCs/>
          <w:sz w:val="28"/>
          <w:szCs w:val="28"/>
          <w:lang w:val="uz-Cyrl-UZ"/>
        </w:rPr>
        <w:t>e</w:t>
      </w:r>
      <w:r>
        <w:rPr>
          <w:rFonts w:ascii="Times New Roman" w:hAnsi="Times New Roman" w:eastAsia="LiberationSerif-Bold" w:cs="Times New Roman"/>
          <w:b/>
          <w:bCs/>
          <w:sz w:val="28"/>
          <w:szCs w:val="28"/>
          <w:lang w:val="en-US"/>
        </w:rPr>
        <w:t>fitsientlar:</w:t>
      </w:r>
    </w:p>
    <w:p w14:paraId="491897D8">
      <w:pPr>
        <w:autoSpaceDE w:val="0"/>
        <w:autoSpaceDN w:val="0"/>
        <w:adjustRightInd w:val="0"/>
        <w:spacing w:after="0" w:line="240" w:lineRule="auto"/>
        <w:jc w:val="center"/>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Joriy likvidlik ko</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f</w:t>
      </w:r>
      <w:r>
        <w:rPr>
          <w:rFonts w:ascii="Times New Roman" w:hAnsi="Times New Roman" w:eastAsia="LiberationSerif-Bold" w:cs="Times New Roman"/>
          <w:sz w:val="28"/>
          <w:szCs w:val="28"/>
          <w:lang w:val="uz-Cyrl-UZ"/>
        </w:rPr>
        <w:t>f</w:t>
      </w:r>
      <w:r>
        <w:rPr>
          <w:rFonts w:ascii="Times New Roman" w:hAnsi="Times New Roman" w:eastAsia="LiberationSerif-Bold" w:cs="Times New Roman"/>
          <w:sz w:val="28"/>
          <w:szCs w:val="28"/>
          <w:lang w:val="en-US"/>
        </w:rPr>
        <w:t>itsie</w:t>
      </w:r>
      <w:r>
        <w:rPr>
          <w:rFonts w:ascii="Times New Roman" w:hAnsi="Times New Roman" w:eastAsia="LiberationSerif-Bold" w:cs="Times New Roman"/>
          <w:sz w:val="28"/>
          <w:szCs w:val="28"/>
          <w:lang w:val="uz-Cyrl-UZ"/>
        </w:rPr>
        <w:t>n</w:t>
      </w:r>
      <w:r>
        <w:rPr>
          <w:rFonts w:ascii="Times New Roman" w:hAnsi="Times New Roman" w:eastAsia="LiberationSerif-Bold" w:cs="Times New Roman"/>
          <w:sz w:val="28"/>
          <w:szCs w:val="28"/>
          <w:lang w:val="en-US"/>
        </w:rPr>
        <w:t>ti q JAG’JP</w:t>
      </w:r>
    </w:p>
    <w:p w14:paraId="47CB9D1D">
      <w:pPr>
        <w:autoSpaceDE w:val="0"/>
        <w:autoSpaceDN w:val="0"/>
        <w:adjustRightInd w:val="0"/>
        <w:spacing w:after="0" w:line="240" w:lineRule="auto"/>
        <w:jc w:val="center"/>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uz-Cyrl-UZ"/>
        </w:rPr>
        <w:t>Sh</w:t>
      </w:r>
      <w:r>
        <w:rPr>
          <w:rFonts w:ascii="Times New Roman" w:hAnsi="Times New Roman" w:eastAsia="LiberationSerif-Bold" w:cs="Times New Roman"/>
          <w:sz w:val="28"/>
          <w:szCs w:val="28"/>
          <w:lang w:val="en-US"/>
        </w:rPr>
        <w:t>u muddatdagi likvidlik ko</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f</w:t>
      </w:r>
      <w:r>
        <w:rPr>
          <w:rFonts w:ascii="Times New Roman" w:hAnsi="Times New Roman" w:eastAsia="LiberationSerif-Bold" w:cs="Times New Roman"/>
          <w:sz w:val="28"/>
          <w:szCs w:val="28"/>
          <w:lang w:val="uz-Cyrl-UZ"/>
        </w:rPr>
        <w:t>f</w:t>
      </w:r>
      <w:r>
        <w:rPr>
          <w:rFonts w:ascii="Times New Roman" w:hAnsi="Times New Roman" w:eastAsia="LiberationSerif-Bold" w:cs="Times New Roman"/>
          <w:sz w:val="28"/>
          <w:szCs w:val="28"/>
          <w:lang w:val="en-US"/>
        </w:rPr>
        <w:t>itse</w:t>
      </w:r>
      <w:r>
        <w:rPr>
          <w:rFonts w:ascii="Times New Roman" w:hAnsi="Times New Roman" w:eastAsia="LiberationSerif-Bold" w:cs="Times New Roman"/>
          <w:sz w:val="28"/>
          <w:szCs w:val="28"/>
          <w:lang w:val="uz-Cyrl-UZ"/>
        </w:rPr>
        <w:t>n</w:t>
      </w:r>
      <w:r>
        <w:rPr>
          <w:rFonts w:ascii="Times New Roman" w:hAnsi="Times New Roman" w:eastAsia="LiberationSerif-Bold" w:cs="Times New Roman"/>
          <w:sz w:val="28"/>
          <w:szCs w:val="28"/>
          <w:lang w:val="en-US"/>
        </w:rPr>
        <w:t>ti q LAG’JP</w:t>
      </w:r>
    </w:p>
    <w:p w14:paraId="16559DD5">
      <w:pPr>
        <w:autoSpaceDE w:val="0"/>
        <w:autoSpaceDN w:val="0"/>
        <w:adjustRightInd w:val="0"/>
        <w:spacing w:after="0" w:line="240" w:lineRule="auto"/>
        <w:jc w:val="center"/>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Kritik baholash ko</w:t>
      </w:r>
      <w:r>
        <w:rPr>
          <w:rFonts w:ascii="Times New Roman" w:hAnsi="Times New Roman" w:eastAsia="LiberationSerif-Bold" w:cs="Times New Roman"/>
          <w:sz w:val="28"/>
          <w:szCs w:val="28"/>
          <w:lang w:val="uz-Cyrl-UZ"/>
        </w:rPr>
        <w:t>ef</w:t>
      </w:r>
      <w:r>
        <w:rPr>
          <w:rFonts w:ascii="Times New Roman" w:hAnsi="Times New Roman" w:eastAsia="LiberationSerif-Bold" w:cs="Times New Roman"/>
          <w:sz w:val="28"/>
          <w:szCs w:val="28"/>
          <w:lang w:val="en-US"/>
        </w:rPr>
        <w:t>fitsienti q (</w:t>
      </w:r>
      <w:r>
        <w:rPr>
          <w:rFonts w:ascii="Times New Roman" w:hAnsi="Times New Roman" w:eastAsia="LiberationSerif-Bold" w:cs="Times New Roman"/>
          <w:sz w:val="28"/>
          <w:szCs w:val="28"/>
          <w:lang w:val="uz-Cyrl-UZ"/>
        </w:rPr>
        <w:t>PM</w:t>
      </w:r>
      <w:r>
        <w:rPr>
          <w:rFonts w:ascii="Times New Roman" w:hAnsi="Times New Roman" w:eastAsia="LiberationSerif-Bold" w:cs="Times New Roman"/>
          <w:sz w:val="28"/>
          <w:szCs w:val="28"/>
          <w:lang w:val="en-US"/>
        </w:rPr>
        <w:t>QDQ)G’QMM</w:t>
      </w:r>
    </w:p>
    <w:p w14:paraId="66359D27">
      <w:pPr>
        <w:autoSpaceDE w:val="0"/>
        <w:autoSpaceDN w:val="0"/>
        <w:adjustRightInd w:val="0"/>
        <w:spacing w:after="0" w:line="240" w:lineRule="auto"/>
        <w:jc w:val="center"/>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Umumiy to’lov qobiliyati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ko</w:t>
      </w:r>
      <w:r>
        <w:rPr>
          <w:rFonts w:ascii="Times New Roman" w:hAnsi="Times New Roman" w:eastAsia="LiberationSerif-Bold" w:cs="Times New Roman"/>
          <w:sz w:val="28"/>
          <w:szCs w:val="28"/>
          <w:lang w:val="uz-Cyrl-UZ"/>
        </w:rPr>
        <w:t>ef</w:t>
      </w:r>
      <w:r>
        <w:rPr>
          <w:rFonts w:ascii="Times New Roman" w:hAnsi="Times New Roman" w:eastAsia="LiberationSerif-Bold" w:cs="Times New Roman"/>
          <w:sz w:val="28"/>
          <w:szCs w:val="28"/>
          <w:lang w:val="en-US"/>
        </w:rPr>
        <w:t>fitsienti q QMG’UA</w:t>
      </w:r>
    </w:p>
    <w:p w14:paraId="6AE45CA3">
      <w:pPr>
        <w:autoSpaceDE w:val="0"/>
        <w:autoSpaceDN w:val="0"/>
        <w:adjustRightInd w:val="0"/>
        <w:spacing w:after="0" w:line="240" w:lineRule="auto"/>
        <w:jc w:val="center"/>
        <w:rPr>
          <w:rFonts w:ascii="Times New Roman" w:hAnsi="Times New Roman" w:eastAsia="LiberationSerif-Bold" w:cs="Times New Roman"/>
          <w:b/>
          <w:sz w:val="28"/>
          <w:szCs w:val="28"/>
          <w:lang w:val="en-US"/>
        </w:rPr>
      </w:pPr>
      <w:r>
        <w:rPr>
          <w:rFonts w:ascii="Times New Roman" w:hAnsi="Times New Roman" w:eastAsia="LiberationSerif-Bold" w:cs="Times New Roman"/>
          <w:b/>
          <w:sz w:val="28"/>
          <w:szCs w:val="28"/>
          <w:lang w:val="en-US"/>
        </w:rPr>
        <w:t>Investitsiyadan foydalanishni baholash ko</w:t>
      </w:r>
      <w:r>
        <w:rPr>
          <w:rFonts w:ascii="Times New Roman" w:hAnsi="Times New Roman" w:eastAsia="LiberationSerif-Bold" w:cs="Times New Roman"/>
          <w:b/>
          <w:sz w:val="28"/>
          <w:szCs w:val="28"/>
          <w:lang w:val="uz-Cyrl-UZ"/>
        </w:rPr>
        <w:t>ef</w:t>
      </w:r>
      <w:r>
        <w:rPr>
          <w:rFonts w:ascii="Times New Roman" w:hAnsi="Times New Roman" w:eastAsia="LiberationSerif-Bold" w:cs="Times New Roman"/>
          <w:b/>
          <w:sz w:val="28"/>
          <w:szCs w:val="28"/>
          <w:lang w:val="en-US"/>
        </w:rPr>
        <w:t>fitsientlar:</w:t>
      </w:r>
    </w:p>
    <w:p w14:paraId="48676A0B">
      <w:pPr>
        <w:autoSpaceDE w:val="0"/>
        <w:autoSpaceDN w:val="0"/>
        <w:adjustRightInd w:val="0"/>
        <w:spacing w:after="0" w:line="240" w:lineRule="auto"/>
        <w:jc w:val="center"/>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Aktivlarning aylanuvchanligi</w:t>
      </w:r>
      <w:r>
        <w:rPr>
          <w:rFonts w:ascii="Times New Roman" w:hAnsi="Times New Roman" w:eastAsia="LiberationSerif-Bold" w:cs="Times New Roman"/>
          <w:sz w:val="28"/>
          <w:szCs w:val="28"/>
          <w:lang w:val="uz-Cyrl-UZ"/>
        </w:rPr>
        <w:t xml:space="preserve"> k</w:t>
      </w:r>
      <w:r>
        <w:rPr>
          <w:rFonts w:ascii="Times New Roman" w:hAnsi="Times New Roman" w:eastAsia="LiberationSerif-Bold" w:cs="Times New Roman"/>
          <w:sz w:val="28"/>
          <w:szCs w:val="28"/>
          <w:lang w:val="en-US"/>
        </w:rPr>
        <w:t>o</w:t>
      </w:r>
      <w:r>
        <w:rPr>
          <w:rFonts w:ascii="Times New Roman" w:hAnsi="Times New Roman" w:eastAsia="LiberationSerif-Bold" w:cs="Times New Roman"/>
          <w:sz w:val="28"/>
          <w:szCs w:val="28"/>
          <w:lang w:val="uz-Cyrl-UZ"/>
        </w:rPr>
        <w:t>ef</w:t>
      </w:r>
      <w:r>
        <w:rPr>
          <w:rFonts w:ascii="Times New Roman" w:hAnsi="Times New Roman" w:eastAsia="LiberationSerif-Bold" w:cs="Times New Roman"/>
          <w:sz w:val="28"/>
          <w:szCs w:val="28"/>
          <w:lang w:val="en-US"/>
        </w:rPr>
        <w:t>fitsie</w:t>
      </w:r>
      <w:r>
        <w:rPr>
          <w:rFonts w:ascii="Times New Roman" w:hAnsi="Times New Roman" w:eastAsia="LiberationSerif-Bold" w:cs="Times New Roman"/>
          <w:sz w:val="28"/>
          <w:szCs w:val="28"/>
          <w:lang w:val="uz-Cyrl-UZ"/>
        </w:rPr>
        <w:t>n</w:t>
      </w:r>
      <w:r>
        <w:rPr>
          <w:rFonts w:ascii="Times New Roman" w:hAnsi="Times New Roman" w:eastAsia="LiberationSerif-Bold" w:cs="Times New Roman"/>
          <w:sz w:val="28"/>
          <w:szCs w:val="28"/>
          <w:lang w:val="en-US"/>
        </w:rPr>
        <w:t>ti q Sotuvdan tushimG’UA</w:t>
      </w:r>
    </w:p>
    <w:p w14:paraId="41EA7C05">
      <w:pPr>
        <w:autoSpaceDE w:val="0"/>
        <w:autoSpaceDN w:val="0"/>
        <w:adjustRightInd w:val="0"/>
        <w:spacing w:after="0" w:line="240" w:lineRule="auto"/>
        <w:jc w:val="center"/>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Doimiy kapitalning aylanuvchanlik ko</w:t>
      </w:r>
      <w:r>
        <w:rPr>
          <w:rFonts w:ascii="Times New Roman" w:hAnsi="Times New Roman" w:eastAsia="LiberationSerif-Bold" w:cs="Times New Roman"/>
          <w:sz w:val="28"/>
          <w:szCs w:val="28"/>
          <w:lang w:val="uz-Cyrl-UZ"/>
        </w:rPr>
        <w:t>ef</w:t>
      </w:r>
      <w:r>
        <w:rPr>
          <w:rFonts w:ascii="Times New Roman" w:hAnsi="Times New Roman" w:eastAsia="LiberationSerif-Bold" w:cs="Times New Roman"/>
          <w:sz w:val="28"/>
          <w:szCs w:val="28"/>
          <w:lang w:val="en-US"/>
        </w:rPr>
        <w:t>fitsienti q Sotuvdan tushumG’DK</w:t>
      </w:r>
    </w:p>
    <w:p w14:paraId="7A420546">
      <w:pPr>
        <w:autoSpaceDE w:val="0"/>
        <w:autoSpaceDN w:val="0"/>
        <w:adjustRightInd w:val="0"/>
        <w:spacing w:after="0" w:line="240" w:lineRule="auto"/>
        <w:jc w:val="center"/>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en-US"/>
        </w:rPr>
        <w:t>Aktsiyadorlik kapitali aylanuvchanligi</w:t>
      </w:r>
      <w:r>
        <w:rPr>
          <w:rFonts w:ascii="Times New Roman" w:hAnsi="Times New Roman" w:eastAsia="LiberationSerif-Bold" w:cs="Times New Roman"/>
          <w:sz w:val="28"/>
          <w:szCs w:val="28"/>
          <w:lang w:val="uz-Cyrl-UZ"/>
        </w:rPr>
        <w:t xml:space="preserve"> k</w:t>
      </w:r>
      <w:r>
        <w:rPr>
          <w:rFonts w:ascii="Times New Roman" w:hAnsi="Times New Roman" w:eastAsia="LiberationSerif-Bold" w:cs="Times New Roman"/>
          <w:sz w:val="28"/>
          <w:szCs w:val="28"/>
          <w:lang w:val="en-US"/>
        </w:rPr>
        <w:t>o</w:t>
      </w:r>
      <w:r>
        <w:rPr>
          <w:rFonts w:ascii="Times New Roman" w:hAnsi="Times New Roman" w:eastAsia="LiberationSerif-Bold" w:cs="Times New Roman"/>
          <w:sz w:val="28"/>
          <w:szCs w:val="28"/>
          <w:lang w:val="uz-Cyrl-UZ"/>
        </w:rPr>
        <w:t>ef</w:t>
      </w:r>
      <w:r>
        <w:rPr>
          <w:rFonts w:ascii="Times New Roman" w:hAnsi="Times New Roman" w:eastAsia="LiberationSerif-Bold" w:cs="Times New Roman"/>
          <w:sz w:val="28"/>
          <w:szCs w:val="28"/>
          <w:lang w:val="en-US"/>
        </w:rPr>
        <w:t xml:space="preserve">fitsienti q </w:t>
      </w:r>
    </w:p>
    <w:p w14:paraId="362FC6F2">
      <w:pPr>
        <w:autoSpaceDE w:val="0"/>
        <w:autoSpaceDN w:val="0"/>
        <w:adjustRightInd w:val="0"/>
        <w:spacing w:after="0" w:line="240" w:lineRule="auto"/>
        <w:jc w:val="center"/>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Sotuvdan tushumG’ AK</w:t>
      </w:r>
    </w:p>
    <w:p w14:paraId="0B03BCD9">
      <w:pPr>
        <w:autoSpaceDE w:val="0"/>
        <w:autoSpaceDN w:val="0"/>
        <w:adjustRightInd w:val="0"/>
        <w:spacing w:after="0" w:line="240" w:lineRule="auto"/>
        <w:jc w:val="center"/>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 xml:space="preserve">Aylanma kapidalning aylanuvchanlik koeffitsienti q </w:t>
      </w:r>
    </w:p>
    <w:p w14:paraId="15F1EC19">
      <w:pPr>
        <w:autoSpaceDE w:val="0"/>
        <w:autoSpaceDN w:val="0"/>
        <w:adjustRightInd w:val="0"/>
        <w:spacing w:after="0" w:line="240" w:lineRule="auto"/>
        <w:jc w:val="center"/>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Sotuvdan tushumG’Aylanma kapital</w:t>
      </w:r>
    </w:p>
    <w:p w14:paraId="68523BB1">
      <w:pPr>
        <w:autoSpaceDE w:val="0"/>
        <w:autoSpaceDN w:val="0"/>
        <w:adjustRightInd w:val="0"/>
        <w:spacing w:after="0" w:line="240" w:lineRule="auto"/>
        <w:jc w:val="center"/>
        <w:rPr>
          <w:rFonts w:ascii="Times New Roman" w:hAnsi="Times New Roman" w:eastAsia="LiberationSerif-Bold" w:cs="Times New Roman"/>
          <w:b/>
          <w:sz w:val="28"/>
          <w:szCs w:val="28"/>
          <w:lang w:val="uz-Cyrl-UZ"/>
        </w:rPr>
      </w:pPr>
      <w:r>
        <w:rPr>
          <w:rFonts w:ascii="Times New Roman" w:hAnsi="Times New Roman" w:eastAsia="LiberationSerif-Bold" w:cs="Times New Roman"/>
          <w:b/>
          <w:sz w:val="28"/>
          <w:szCs w:val="28"/>
          <w:lang w:val="uz-Cyrl-UZ"/>
        </w:rPr>
        <w:t>Rentabellik ko’rsatkichlari:</w:t>
      </w:r>
    </w:p>
    <w:p w14:paraId="369A2087">
      <w:pPr>
        <w:autoSpaceDE w:val="0"/>
        <w:autoSpaceDN w:val="0"/>
        <w:adjustRightInd w:val="0"/>
        <w:spacing w:after="0" w:line="240" w:lineRule="auto"/>
        <w:jc w:val="center"/>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Umumiy aktivlar rentabelligi q (SFQF)G’UA</w:t>
      </w:r>
    </w:p>
    <w:p w14:paraId="6033F253">
      <w:pPr>
        <w:autoSpaceDE w:val="0"/>
        <w:autoSpaceDN w:val="0"/>
        <w:adjustRightInd w:val="0"/>
        <w:spacing w:after="0" w:line="240" w:lineRule="auto"/>
        <w:jc w:val="center"/>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Doimiy kapitalning</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rentabelligi q (SFQF)G’DK</w:t>
      </w:r>
    </w:p>
    <w:p w14:paraId="53FFA959">
      <w:pPr>
        <w:autoSpaceDE w:val="0"/>
        <w:autoSpaceDN w:val="0"/>
        <w:adjustRightInd w:val="0"/>
        <w:spacing w:after="0" w:line="240" w:lineRule="auto"/>
        <w:jc w:val="center"/>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Aktsiadorlik kapitalining</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rentabelligi q SFG’AK</w:t>
      </w:r>
    </w:p>
    <w:p w14:paraId="6FAA8797">
      <w:pPr>
        <w:autoSpaceDE w:val="0"/>
        <w:autoSpaceDN w:val="0"/>
        <w:adjustRightInd w:val="0"/>
        <w:spacing w:after="0" w:line="240" w:lineRule="auto"/>
        <w:jc w:val="center"/>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Sotish rentabelligi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q SFG’Sotishdan tushum</w:t>
      </w:r>
    </w:p>
    <w:p w14:paraId="581A6F3E">
      <w:pPr>
        <w:autoSpaceDE w:val="0"/>
        <w:autoSpaceDN w:val="0"/>
        <w:adjustRightInd w:val="0"/>
        <w:spacing w:after="0" w:line="240" w:lineRule="auto"/>
        <w:jc w:val="center"/>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O’z kapitali rentabelligi q SFG’(AKQTF)</w:t>
      </w:r>
    </w:p>
    <w:p w14:paraId="26591ACC">
      <w:pPr>
        <w:autoSpaceDE w:val="0"/>
        <w:autoSpaceDN w:val="0"/>
        <w:adjustRightInd w:val="0"/>
        <w:spacing w:after="0" w:line="240" w:lineRule="auto"/>
        <w:jc w:val="center"/>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en-US"/>
        </w:rPr>
        <w:t>Kapitalning daromadligi q</w:t>
      </w:r>
    </w:p>
    <w:p w14:paraId="0ADE5AD4">
      <w:pPr>
        <w:autoSpaceDE w:val="0"/>
        <w:autoSpaceDN w:val="0"/>
        <w:adjustRightInd w:val="0"/>
        <w:spacing w:after="0" w:line="240" w:lineRule="auto"/>
        <w:jc w:val="center"/>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(SFQF)G’O’z kapitalining uzoq muddatli qarzlari</w:t>
      </w:r>
    </w:p>
    <w:p w14:paraId="6A5BBA3F">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Bu erda: 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yuqori likvidli aktivlar;</w:t>
      </w:r>
    </w:p>
    <w:p w14:paraId="79B7C48C">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JP</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joriy passivlar;</w:t>
      </w:r>
    </w:p>
    <w:p w14:paraId="59A41213">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JA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joriy aktivlar;</w:t>
      </w:r>
    </w:p>
    <w:p w14:paraId="34F811A7">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TF</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taqsimlanmagan foyda;</w:t>
      </w:r>
    </w:p>
    <w:p w14:paraId="1924C823">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LA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likvidli aktivlar;</w:t>
      </w:r>
    </w:p>
    <w:p w14:paraId="68F3960C">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F</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kredit</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(qarz) uchun foiz;</w:t>
      </w:r>
    </w:p>
    <w:p w14:paraId="4EA1E7C6">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UA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umumiy aktivlar;</w:t>
      </w:r>
    </w:p>
    <w:p w14:paraId="1F0F6468">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P</w:t>
      </w:r>
      <w:r>
        <w:rPr>
          <w:rFonts w:ascii="Times New Roman" w:hAnsi="Times New Roman" w:eastAsia="LiberationSerif-Bold" w:cs="Times New Roman"/>
          <w:sz w:val="28"/>
          <w:szCs w:val="28"/>
          <w:lang w:val="uz-Cyrl-UZ"/>
        </w:rPr>
        <w:t xml:space="preserve">M </w:t>
      </w:r>
      <w:r>
        <w:rPr>
          <w:rFonts w:ascii="Times New Roman" w:hAnsi="Times New Roman" w:eastAsia="LiberationSerif-Bold" w:cs="Times New Roman"/>
          <w:sz w:val="28"/>
          <w:szCs w:val="28"/>
          <w:lang w:val="en-US"/>
        </w:rPr>
        <w:t>–</w:t>
      </w:r>
      <w:r>
        <w:rPr>
          <w:rFonts w:ascii="Times New Roman" w:hAnsi="Times New Roman" w:eastAsia="LiberationSerif-Bold" w:cs="Times New Roman"/>
          <w:sz w:val="28"/>
          <w:szCs w:val="28"/>
          <w:lang w:val="uz-Cyrl-UZ"/>
        </w:rPr>
        <w:t xml:space="preserve"> p</w:t>
      </w:r>
      <w:r>
        <w:rPr>
          <w:rFonts w:ascii="Times New Roman" w:hAnsi="Times New Roman" w:eastAsia="LiberationSerif-Bold" w:cs="Times New Roman"/>
          <w:sz w:val="28"/>
          <w:szCs w:val="28"/>
          <w:lang w:val="en-US"/>
        </w:rPr>
        <w:t>ul</w:t>
      </w:r>
      <w:r>
        <w:rPr>
          <w:rFonts w:ascii="Times New Roman" w:hAnsi="Times New Roman" w:eastAsia="LiberationSerif-Bold" w:cs="Times New Roman"/>
          <w:sz w:val="28"/>
          <w:szCs w:val="28"/>
          <w:lang w:val="uz-Cyrl-UZ"/>
        </w:rPr>
        <w:t xml:space="preserve"> mablag’</w:t>
      </w:r>
      <w:r>
        <w:rPr>
          <w:rFonts w:ascii="Times New Roman" w:hAnsi="Times New Roman" w:eastAsia="LiberationSerif-Bold" w:cs="Times New Roman"/>
          <w:sz w:val="28"/>
          <w:szCs w:val="28"/>
          <w:lang w:val="en-US"/>
        </w:rPr>
        <w:t>lar</w:t>
      </w:r>
      <w:r>
        <w:rPr>
          <w:rFonts w:ascii="Times New Roman" w:hAnsi="Times New Roman" w:eastAsia="LiberationSerif-Bold" w:cs="Times New Roman"/>
          <w:sz w:val="28"/>
          <w:szCs w:val="28"/>
          <w:lang w:val="uz-Cyrl-UZ"/>
        </w:rPr>
        <w:t>i</w:t>
      </w:r>
      <w:r>
        <w:rPr>
          <w:rFonts w:ascii="Times New Roman" w:hAnsi="Times New Roman" w:eastAsia="LiberationSerif-Bold" w:cs="Times New Roman"/>
          <w:sz w:val="28"/>
          <w:szCs w:val="28"/>
          <w:lang w:val="en-US"/>
        </w:rPr>
        <w:t>;</w:t>
      </w:r>
    </w:p>
    <w:p w14:paraId="51F4E564">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DQ</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debitorlik qarzlari;</w:t>
      </w:r>
    </w:p>
    <w:p w14:paraId="009F0E13">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QMM</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qisqa muddatli majburiyatlar;</w:t>
      </w:r>
    </w:p>
    <w:p w14:paraId="31527085">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DK</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doimiy kapital;</w:t>
      </w:r>
    </w:p>
    <w:p w14:paraId="6F5494AC">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AK -</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aktsiyadorlik kapitali;</w:t>
      </w:r>
    </w:p>
    <w:p w14:paraId="615463BA">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SF</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sof foyda;</w:t>
      </w:r>
    </w:p>
    <w:p w14:paraId="3578EC14">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M</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qarz majburiyatlar.</w:t>
      </w:r>
    </w:p>
    <w:p w14:paraId="4A27BF92">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p>
    <w:p w14:paraId="6BE73280">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r>
        <w:rPr>
          <w:rFonts w:ascii="Times New Roman" w:hAnsi="Times New Roman" w:eastAsia="LiberationSerif-Bold" w:cs="Times New Roman"/>
          <w:b/>
          <w:bCs/>
          <w:sz w:val="28"/>
          <w:szCs w:val="28"/>
          <w:lang w:val="en-US"/>
        </w:rPr>
        <w:t>11.5. Loyihaning moliyaviy samaradorligini foyda balansi</w:t>
      </w:r>
    </w:p>
    <w:p w14:paraId="1FC3696D">
      <w:pPr>
        <w:autoSpaceDE w:val="0"/>
        <w:autoSpaceDN w:val="0"/>
        <w:adjustRightInd w:val="0"/>
        <w:spacing w:after="0" w:line="240" w:lineRule="auto"/>
        <w:jc w:val="center"/>
        <w:rPr>
          <w:rFonts w:ascii="Times New Roman" w:hAnsi="Times New Roman" w:eastAsia="LiberationSerif-Bold" w:cs="Times New Roman"/>
          <w:b/>
          <w:bCs/>
          <w:sz w:val="28"/>
          <w:szCs w:val="28"/>
          <w:lang w:val="en-US"/>
        </w:rPr>
      </w:pPr>
      <w:r>
        <w:rPr>
          <w:rFonts w:ascii="Times New Roman" w:hAnsi="Times New Roman" w:eastAsia="LiberationSerif-Bold" w:cs="Times New Roman"/>
          <w:b/>
          <w:bCs/>
          <w:sz w:val="28"/>
          <w:szCs w:val="28"/>
          <w:lang w:val="en-US"/>
        </w:rPr>
        <w:t>Yordamida</w:t>
      </w:r>
      <w:r>
        <w:rPr>
          <w:rFonts w:ascii="Times New Roman" w:hAnsi="Times New Roman" w:eastAsia="LiberationSerif-Bold" w:cs="Times New Roman"/>
          <w:b/>
          <w:bCs/>
          <w:sz w:val="28"/>
          <w:szCs w:val="28"/>
          <w:lang w:val="uz-Cyrl-UZ"/>
        </w:rPr>
        <w:t xml:space="preserve"> </w:t>
      </w:r>
      <w:r>
        <w:rPr>
          <w:rFonts w:ascii="Times New Roman" w:hAnsi="Times New Roman" w:eastAsia="LiberationSerif-Bold" w:cs="Times New Roman"/>
          <w:b/>
          <w:bCs/>
          <w:sz w:val="28"/>
          <w:szCs w:val="28"/>
          <w:lang w:val="en-US"/>
        </w:rPr>
        <w:t>aniqlashning oddiy usuli</w:t>
      </w:r>
    </w:p>
    <w:p w14:paraId="257408FD">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p>
    <w:p w14:paraId="7CD96E44">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Loyihani birinchi hisobda hisob-kitoblar bilan samaradorligini hisoblashda soddalashgan usulda foyda hisoboti modelidan foydalanib aniqlashimiz mumkin.</w:t>
      </w:r>
    </w:p>
    <w:p w14:paraId="3E423865">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Bu jadvaldan ko’rinib turibdiki loyihaning foydalilik darajasi soliq va kredit  foizini to’lashdan oldingi foyda ko’rsatkichida ko’rinadi. Ko’p hollarda tijorat banklari loyihani samaradorlik darajasini hamda kreditni qaytarib berish quvvatini aniqlashda bu ko’rsatkich 30% dan yuqori bo’lishini xohlaydi. Bu ko’rsatkich qancha yuqori bo’lsa kreditni qaytarish koeffitsienti yuqori deb tushuniladi.</w:t>
      </w:r>
    </w:p>
    <w:p w14:paraId="5149A582">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Foyda hisoboti modelidan foydalanib, loyihaning oddiy usulda samaradorligini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aniqlash</w:t>
      </w:r>
    </w:p>
    <w:tbl>
      <w:tblPr>
        <w:tblStyle w:val="6"/>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4928"/>
        <w:gridCol w:w="2268"/>
        <w:gridCol w:w="2375"/>
      </w:tblGrid>
      <w:tr w14:paraId="6EEB158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928" w:type="dxa"/>
            <w:vAlign w:val="center"/>
          </w:tcPr>
          <w:p w14:paraId="69C17575">
            <w:pPr>
              <w:autoSpaceDE w:val="0"/>
              <w:autoSpaceDN w:val="0"/>
              <w:adjustRightInd w:val="0"/>
              <w:spacing w:after="0" w:line="240" w:lineRule="auto"/>
              <w:jc w:val="center"/>
              <w:rPr>
                <w:rFonts w:ascii="Times New Roman" w:hAnsi="Times New Roman" w:eastAsia="LiberationSerif-Bold" w:cs="Times New Roman"/>
                <w:sz w:val="24"/>
                <w:szCs w:val="24"/>
                <w:lang w:val="uz-Cyrl-UZ"/>
              </w:rPr>
            </w:pPr>
            <w:r>
              <w:rPr>
                <w:rFonts w:ascii="Times New Roman" w:hAnsi="Times New Roman" w:eastAsia="LiberationSerif-Bold" w:cs="Times New Roman"/>
                <w:sz w:val="24"/>
                <w:szCs w:val="24"/>
              </w:rPr>
              <w:t>Ko’rsatkichlar</w:t>
            </w:r>
          </w:p>
        </w:tc>
        <w:tc>
          <w:tcPr>
            <w:tcW w:w="2268" w:type="dxa"/>
            <w:vAlign w:val="center"/>
          </w:tcPr>
          <w:p w14:paraId="0A173133">
            <w:pPr>
              <w:autoSpaceDE w:val="0"/>
              <w:autoSpaceDN w:val="0"/>
              <w:adjustRightInd w:val="0"/>
              <w:spacing w:after="0" w:line="240" w:lineRule="auto"/>
              <w:jc w:val="center"/>
              <w:rPr>
                <w:rFonts w:ascii="Times New Roman" w:hAnsi="Times New Roman" w:eastAsia="LiberationSerif-Bold" w:cs="Times New Roman"/>
                <w:sz w:val="24"/>
                <w:szCs w:val="24"/>
                <w:lang w:val="uz-Cyrl-UZ"/>
              </w:rPr>
            </w:pPr>
            <w:r>
              <w:rPr>
                <w:rFonts w:ascii="Times New Roman" w:hAnsi="Times New Roman" w:eastAsia="LiberationSerif-Bold" w:cs="Times New Roman"/>
                <w:sz w:val="24"/>
                <w:szCs w:val="24"/>
              </w:rPr>
              <w:t>Xalqaro</w:t>
            </w:r>
            <w:r>
              <w:rPr>
                <w:rFonts w:ascii="Times New Roman" w:hAnsi="Times New Roman" w:eastAsia="LiberationSerif-Bold" w:cs="Times New Roman"/>
                <w:sz w:val="24"/>
                <w:szCs w:val="24"/>
                <w:lang w:val="uz-Cyrl-UZ"/>
              </w:rPr>
              <w:t xml:space="preserve"> </w:t>
            </w:r>
            <w:r>
              <w:rPr>
                <w:rFonts w:ascii="Times New Roman" w:hAnsi="Times New Roman" w:eastAsia="LiberationSerif-Bold" w:cs="Times New Roman"/>
                <w:sz w:val="24"/>
                <w:szCs w:val="24"/>
              </w:rPr>
              <w:t>standart</w:t>
            </w:r>
            <w:r>
              <w:rPr>
                <w:rFonts w:ascii="Times New Roman" w:hAnsi="Times New Roman" w:eastAsia="LiberationSerif-Bold" w:cs="Times New Roman"/>
                <w:sz w:val="24"/>
                <w:szCs w:val="24"/>
                <w:lang w:val="uz-Cyrl-UZ"/>
              </w:rPr>
              <w:t xml:space="preserve"> </w:t>
            </w:r>
            <w:r>
              <w:rPr>
                <w:rFonts w:ascii="Times New Roman" w:hAnsi="Times New Roman" w:eastAsia="LiberationSerif-Bold" w:cs="Times New Roman"/>
                <w:sz w:val="24"/>
                <w:szCs w:val="24"/>
              </w:rPr>
              <w:t>bo’yicha</w:t>
            </w:r>
          </w:p>
        </w:tc>
        <w:tc>
          <w:tcPr>
            <w:tcW w:w="2375" w:type="dxa"/>
            <w:vAlign w:val="center"/>
          </w:tcPr>
          <w:p w14:paraId="08FC2A77">
            <w:pPr>
              <w:autoSpaceDE w:val="0"/>
              <w:autoSpaceDN w:val="0"/>
              <w:adjustRightInd w:val="0"/>
              <w:spacing w:after="0" w:line="240" w:lineRule="auto"/>
              <w:jc w:val="center"/>
              <w:rPr>
                <w:rFonts w:ascii="Times New Roman" w:hAnsi="Times New Roman" w:eastAsia="LiberationSerif-Bold" w:cs="Times New Roman"/>
                <w:sz w:val="24"/>
                <w:szCs w:val="24"/>
                <w:lang w:val="uz-Cyrl-UZ"/>
              </w:rPr>
            </w:pPr>
            <w:r>
              <w:rPr>
                <w:rFonts w:ascii="Times New Roman" w:hAnsi="Times New Roman" w:eastAsia="LiberationSerif-Bold" w:cs="Times New Roman"/>
                <w:sz w:val="24"/>
                <w:szCs w:val="24"/>
              </w:rPr>
              <w:t>Mahalliy</w:t>
            </w:r>
            <w:r>
              <w:rPr>
                <w:rFonts w:ascii="Times New Roman" w:hAnsi="Times New Roman" w:eastAsia="LiberationSerif-Bold" w:cs="Times New Roman"/>
                <w:sz w:val="24"/>
                <w:szCs w:val="24"/>
                <w:lang w:val="uz-Cyrl-UZ"/>
              </w:rPr>
              <w:t xml:space="preserve"> </w:t>
            </w:r>
            <w:r>
              <w:rPr>
                <w:rFonts w:ascii="Times New Roman" w:hAnsi="Times New Roman" w:eastAsia="LiberationSerif-Bold" w:cs="Times New Roman"/>
                <w:sz w:val="24"/>
                <w:szCs w:val="24"/>
              </w:rPr>
              <w:t>standart</w:t>
            </w:r>
            <w:r>
              <w:rPr>
                <w:rFonts w:ascii="Times New Roman" w:hAnsi="Times New Roman" w:eastAsia="LiberationSerif-Bold" w:cs="Times New Roman"/>
                <w:sz w:val="24"/>
                <w:szCs w:val="24"/>
                <w:lang w:val="uz-Cyrl-UZ"/>
              </w:rPr>
              <w:t xml:space="preserve"> </w:t>
            </w:r>
            <w:r>
              <w:rPr>
                <w:rFonts w:ascii="Times New Roman" w:hAnsi="Times New Roman" w:eastAsia="LiberationSerif-Bold" w:cs="Times New Roman"/>
                <w:sz w:val="24"/>
                <w:szCs w:val="24"/>
              </w:rPr>
              <w:t>bo’yicha</w:t>
            </w:r>
          </w:p>
        </w:tc>
      </w:tr>
      <w:tr w14:paraId="297D820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928" w:type="dxa"/>
            <w:vAlign w:val="center"/>
          </w:tcPr>
          <w:p w14:paraId="366E588C">
            <w:pPr>
              <w:autoSpaceDE w:val="0"/>
              <w:autoSpaceDN w:val="0"/>
              <w:adjustRightInd w:val="0"/>
              <w:spacing w:after="0" w:line="240" w:lineRule="auto"/>
              <w:rPr>
                <w:rFonts w:ascii="Times New Roman" w:hAnsi="Times New Roman" w:eastAsia="LiberationSerif-Bold" w:cs="Times New Roman"/>
                <w:sz w:val="24"/>
                <w:szCs w:val="24"/>
                <w:lang w:val="uz-Cyrl-UZ"/>
              </w:rPr>
            </w:pPr>
            <w:r>
              <w:rPr>
                <w:rFonts w:ascii="Times New Roman" w:hAnsi="Times New Roman" w:eastAsia="LiberationSerif-Bold" w:cs="Times New Roman"/>
                <w:sz w:val="24"/>
                <w:szCs w:val="24"/>
              </w:rPr>
              <w:t>1.Tovar sotilishidan</w:t>
            </w:r>
            <w:r>
              <w:rPr>
                <w:rFonts w:ascii="Times New Roman" w:hAnsi="Times New Roman" w:eastAsia="LiberationSerif-Bold" w:cs="Times New Roman"/>
                <w:sz w:val="24"/>
                <w:szCs w:val="24"/>
                <w:lang w:val="uz-Cyrl-UZ"/>
              </w:rPr>
              <w:t xml:space="preserve"> </w:t>
            </w:r>
            <w:r>
              <w:rPr>
                <w:rFonts w:ascii="Times New Roman" w:hAnsi="Times New Roman" w:eastAsia="LiberationSerif-Bold" w:cs="Times New Roman"/>
                <w:sz w:val="24"/>
                <w:szCs w:val="24"/>
              </w:rPr>
              <w:t>tushim</w:t>
            </w:r>
          </w:p>
        </w:tc>
        <w:tc>
          <w:tcPr>
            <w:tcW w:w="2268" w:type="dxa"/>
            <w:vAlign w:val="center"/>
          </w:tcPr>
          <w:p w14:paraId="68D6053A">
            <w:pPr>
              <w:autoSpaceDE w:val="0"/>
              <w:autoSpaceDN w:val="0"/>
              <w:adjustRightInd w:val="0"/>
              <w:spacing w:after="0" w:line="240" w:lineRule="auto"/>
              <w:jc w:val="center"/>
              <w:rPr>
                <w:rFonts w:ascii="Times New Roman" w:hAnsi="Times New Roman" w:eastAsia="LiberationSerif-Bold" w:cs="Times New Roman"/>
                <w:sz w:val="24"/>
                <w:szCs w:val="24"/>
                <w:lang w:val="uz-Cyrl-UZ"/>
              </w:rPr>
            </w:pPr>
            <w:r>
              <w:rPr>
                <w:rFonts w:ascii="Times New Roman" w:hAnsi="Times New Roman" w:eastAsia="LiberationSerif-Bold" w:cs="Times New Roman"/>
                <w:sz w:val="24"/>
                <w:szCs w:val="24"/>
              </w:rPr>
              <w:t>100$</w:t>
            </w:r>
          </w:p>
        </w:tc>
        <w:tc>
          <w:tcPr>
            <w:tcW w:w="2375" w:type="dxa"/>
            <w:vAlign w:val="center"/>
          </w:tcPr>
          <w:p w14:paraId="590CC663">
            <w:pPr>
              <w:autoSpaceDE w:val="0"/>
              <w:autoSpaceDN w:val="0"/>
              <w:adjustRightInd w:val="0"/>
              <w:spacing w:after="0" w:line="240" w:lineRule="auto"/>
              <w:jc w:val="center"/>
              <w:rPr>
                <w:rFonts w:ascii="Times New Roman" w:hAnsi="Times New Roman" w:eastAsia="LiberationSerif-Bold" w:cs="Times New Roman"/>
                <w:sz w:val="24"/>
                <w:szCs w:val="24"/>
                <w:lang w:val="uz-Cyrl-UZ"/>
              </w:rPr>
            </w:pPr>
            <w:r>
              <w:rPr>
                <w:rFonts w:ascii="Times New Roman" w:hAnsi="Times New Roman" w:eastAsia="LiberationSerif-Bold" w:cs="Times New Roman"/>
                <w:sz w:val="24"/>
                <w:szCs w:val="24"/>
              </w:rPr>
              <w:t>60$</w:t>
            </w:r>
          </w:p>
        </w:tc>
      </w:tr>
      <w:tr w14:paraId="3E9787D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928" w:type="dxa"/>
            <w:vAlign w:val="center"/>
          </w:tcPr>
          <w:p w14:paraId="742E1FFA">
            <w:pPr>
              <w:autoSpaceDE w:val="0"/>
              <w:autoSpaceDN w:val="0"/>
              <w:adjustRightInd w:val="0"/>
              <w:spacing w:after="0" w:line="240" w:lineRule="auto"/>
              <w:rPr>
                <w:rFonts w:ascii="Times New Roman" w:hAnsi="Times New Roman" w:eastAsia="LiberationSerif-Bold" w:cs="Times New Roman"/>
                <w:sz w:val="24"/>
                <w:szCs w:val="24"/>
                <w:lang w:val="uz-Cyrl-UZ"/>
              </w:rPr>
            </w:pPr>
            <w:r>
              <w:rPr>
                <w:rFonts w:ascii="Times New Roman" w:hAnsi="Times New Roman" w:eastAsia="LiberationSerif-Bold" w:cs="Times New Roman"/>
                <w:sz w:val="24"/>
                <w:szCs w:val="24"/>
              </w:rPr>
              <w:t>2.Sotilgan tovarlarning</w:t>
            </w:r>
            <w:r>
              <w:rPr>
                <w:rFonts w:ascii="Times New Roman" w:hAnsi="Times New Roman" w:eastAsia="LiberationSerif-Bold" w:cs="Times New Roman"/>
                <w:sz w:val="24"/>
                <w:szCs w:val="24"/>
                <w:lang w:val="uz-Cyrl-UZ"/>
              </w:rPr>
              <w:t xml:space="preserve"> </w:t>
            </w:r>
            <w:r>
              <w:rPr>
                <w:rFonts w:ascii="Times New Roman" w:hAnsi="Times New Roman" w:eastAsia="LiberationSerif-Bold" w:cs="Times New Roman"/>
                <w:sz w:val="24"/>
                <w:szCs w:val="24"/>
              </w:rPr>
              <w:t>tannarxi</w:t>
            </w:r>
          </w:p>
        </w:tc>
        <w:tc>
          <w:tcPr>
            <w:tcW w:w="2268" w:type="dxa"/>
            <w:vAlign w:val="center"/>
          </w:tcPr>
          <w:p w14:paraId="3DA46424">
            <w:pPr>
              <w:autoSpaceDE w:val="0"/>
              <w:autoSpaceDN w:val="0"/>
              <w:adjustRightInd w:val="0"/>
              <w:spacing w:after="0" w:line="240" w:lineRule="auto"/>
              <w:jc w:val="center"/>
              <w:rPr>
                <w:rFonts w:ascii="Times New Roman" w:hAnsi="Times New Roman" w:eastAsia="LiberationSerif-Bold" w:cs="Times New Roman"/>
                <w:sz w:val="24"/>
                <w:szCs w:val="24"/>
                <w:lang w:val="uz-Cyrl-UZ"/>
              </w:rPr>
            </w:pPr>
            <w:r>
              <w:rPr>
                <w:rFonts w:ascii="Times New Roman" w:hAnsi="Times New Roman" w:eastAsia="LiberationSerif-Bold" w:cs="Times New Roman"/>
                <w:sz w:val="24"/>
                <w:szCs w:val="24"/>
              </w:rPr>
              <w:t>40$</w:t>
            </w:r>
          </w:p>
        </w:tc>
        <w:tc>
          <w:tcPr>
            <w:tcW w:w="2375" w:type="dxa"/>
            <w:vAlign w:val="center"/>
          </w:tcPr>
          <w:p w14:paraId="3F835A8C">
            <w:pPr>
              <w:autoSpaceDE w:val="0"/>
              <w:autoSpaceDN w:val="0"/>
              <w:adjustRightInd w:val="0"/>
              <w:spacing w:after="0" w:line="240" w:lineRule="auto"/>
              <w:jc w:val="center"/>
              <w:rPr>
                <w:rFonts w:ascii="Times New Roman" w:hAnsi="Times New Roman" w:eastAsia="LiberationSerif-Bold" w:cs="Times New Roman"/>
                <w:sz w:val="24"/>
                <w:szCs w:val="24"/>
                <w:lang w:val="uz-Cyrl-UZ"/>
              </w:rPr>
            </w:pPr>
            <w:r>
              <w:rPr>
                <w:rFonts w:ascii="Times New Roman" w:hAnsi="Times New Roman" w:eastAsia="LiberationSerif-Bold" w:cs="Times New Roman"/>
                <w:sz w:val="24"/>
                <w:szCs w:val="24"/>
              </w:rPr>
              <w:t>40$</w:t>
            </w:r>
          </w:p>
        </w:tc>
      </w:tr>
      <w:tr w14:paraId="0BE1560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928" w:type="dxa"/>
            <w:vAlign w:val="center"/>
          </w:tcPr>
          <w:p w14:paraId="42A5BD2F">
            <w:pPr>
              <w:autoSpaceDE w:val="0"/>
              <w:autoSpaceDN w:val="0"/>
              <w:adjustRightInd w:val="0"/>
              <w:spacing w:after="0" w:line="240" w:lineRule="auto"/>
              <w:rPr>
                <w:rFonts w:ascii="Times New Roman" w:hAnsi="Times New Roman" w:eastAsia="LiberationSerif-Bold" w:cs="Times New Roman"/>
                <w:sz w:val="24"/>
                <w:szCs w:val="24"/>
                <w:lang w:val="uz-Cyrl-UZ"/>
              </w:rPr>
            </w:pPr>
            <w:r>
              <w:rPr>
                <w:rFonts w:ascii="Times New Roman" w:hAnsi="Times New Roman" w:eastAsia="LiberationSerif-Bold" w:cs="Times New Roman"/>
                <w:sz w:val="24"/>
                <w:szCs w:val="24"/>
              </w:rPr>
              <w:t>3.Umumiy foyda (3q1-2)</w:t>
            </w:r>
          </w:p>
        </w:tc>
        <w:tc>
          <w:tcPr>
            <w:tcW w:w="2268" w:type="dxa"/>
            <w:vAlign w:val="center"/>
          </w:tcPr>
          <w:p w14:paraId="63DEAE45">
            <w:pPr>
              <w:autoSpaceDE w:val="0"/>
              <w:autoSpaceDN w:val="0"/>
              <w:adjustRightInd w:val="0"/>
              <w:spacing w:after="0" w:line="240" w:lineRule="auto"/>
              <w:jc w:val="center"/>
              <w:rPr>
                <w:rFonts w:ascii="Times New Roman" w:hAnsi="Times New Roman" w:eastAsia="LiberationSerif-Bold" w:cs="Times New Roman"/>
                <w:sz w:val="24"/>
                <w:szCs w:val="24"/>
                <w:lang w:val="uz-Cyrl-UZ"/>
              </w:rPr>
            </w:pPr>
            <w:r>
              <w:rPr>
                <w:rFonts w:ascii="Times New Roman" w:hAnsi="Times New Roman" w:eastAsia="LiberationSerif-Bold" w:cs="Times New Roman"/>
                <w:sz w:val="24"/>
                <w:szCs w:val="24"/>
              </w:rPr>
              <w:t>60$</w:t>
            </w:r>
          </w:p>
        </w:tc>
        <w:tc>
          <w:tcPr>
            <w:tcW w:w="2375" w:type="dxa"/>
            <w:vAlign w:val="center"/>
          </w:tcPr>
          <w:p w14:paraId="5CC4B4C0">
            <w:pPr>
              <w:autoSpaceDE w:val="0"/>
              <w:autoSpaceDN w:val="0"/>
              <w:adjustRightInd w:val="0"/>
              <w:spacing w:after="0" w:line="240" w:lineRule="auto"/>
              <w:jc w:val="center"/>
              <w:rPr>
                <w:rFonts w:ascii="Times New Roman" w:hAnsi="Times New Roman" w:eastAsia="LiberationSerif-Bold" w:cs="Times New Roman"/>
                <w:sz w:val="24"/>
                <w:szCs w:val="24"/>
                <w:lang w:val="uz-Cyrl-UZ"/>
              </w:rPr>
            </w:pPr>
            <w:r>
              <w:rPr>
                <w:rFonts w:ascii="Times New Roman" w:hAnsi="Times New Roman" w:eastAsia="LiberationSerif-Bold" w:cs="Times New Roman"/>
                <w:sz w:val="24"/>
                <w:szCs w:val="24"/>
              </w:rPr>
              <w:t>20$</w:t>
            </w:r>
          </w:p>
        </w:tc>
      </w:tr>
      <w:tr w14:paraId="610E681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928" w:type="dxa"/>
            <w:vAlign w:val="center"/>
          </w:tcPr>
          <w:p w14:paraId="3F04AF97">
            <w:pPr>
              <w:autoSpaceDE w:val="0"/>
              <w:autoSpaceDN w:val="0"/>
              <w:adjustRightInd w:val="0"/>
              <w:spacing w:after="0" w:line="240" w:lineRule="auto"/>
              <w:rPr>
                <w:rFonts w:ascii="Times New Roman" w:hAnsi="Times New Roman" w:eastAsia="LiberationSerif-Bold" w:cs="Times New Roman"/>
                <w:sz w:val="24"/>
                <w:szCs w:val="24"/>
                <w:lang w:val="en-US"/>
              </w:rPr>
            </w:pPr>
            <w:r>
              <w:rPr>
                <w:rFonts w:ascii="Times New Roman" w:hAnsi="Times New Roman" w:eastAsia="LiberationSerif-Bold" w:cs="Times New Roman"/>
                <w:sz w:val="24"/>
                <w:szCs w:val="24"/>
                <w:lang w:val="en-US"/>
              </w:rPr>
              <w:t>4.Boshqaruv xarajatlari</w:t>
            </w:r>
          </w:p>
          <w:p w14:paraId="29E89969">
            <w:pPr>
              <w:autoSpaceDE w:val="0"/>
              <w:autoSpaceDN w:val="0"/>
              <w:adjustRightInd w:val="0"/>
              <w:spacing w:after="0" w:line="240" w:lineRule="auto"/>
              <w:rPr>
                <w:rFonts w:ascii="Times New Roman" w:hAnsi="Times New Roman" w:eastAsia="LiberationSerif-Bold" w:cs="Times New Roman"/>
                <w:sz w:val="24"/>
                <w:szCs w:val="24"/>
                <w:lang w:val="en-US"/>
              </w:rPr>
            </w:pPr>
            <w:r>
              <w:rPr>
                <w:rFonts w:ascii="Times New Roman" w:hAnsi="Times New Roman" w:eastAsia="LiberationSerif-Bold" w:cs="Times New Roman"/>
                <w:sz w:val="24"/>
                <w:szCs w:val="24"/>
                <w:lang w:val="en-US"/>
              </w:rPr>
              <w:t>5.Marketing xarajatlari</w:t>
            </w:r>
          </w:p>
          <w:p w14:paraId="232DF9F6">
            <w:pPr>
              <w:autoSpaceDE w:val="0"/>
              <w:autoSpaceDN w:val="0"/>
              <w:adjustRightInd w:val="0"/>
              <w:spacing w:after="0" w:line="240" w:lineRule="auto"/>
              <w:rPr>
                <w:rFonts w:ascii="Times New Roman" w:hAnsi="Times New Roman" w:eastAsia="LiberationSerif-Bold" w:cs="Times New Roman"/>
                <w:sz w:val="24"/>
                <w:szCs w:val="24"/>
                <w:lang w:val="uz-Cyrl-UZ"/>
              </w:rPr>
            </w:pPr>
            <w:r>
              <w:rPr>
                <w:rFonts w:ascii="Times New Roman" w:hAnsi="Times New Roman" w:eastAsia="LiberationSerif-Bold" w:cs="Times New Roman"/>
                <w:sz w:val="24"/>
                <w:szCs w:val="24"/>
                <w:lang w:val="en-US"/>
              </w:rPr>
              <w:t>6.Boshqa xarajatlar</w:t>
            </w:r>
          </w:p>
        </w:tc>
        <w:tc>
          <w:tcPr>
            <w:tcW w:w="2268" w:type="dxa"/>
            <w:vAlign w:val="center"/>
          </w:tcPr>
          <w:p w14:paraId="3FE8FACA">
            <w:pPr>
              <w:autoSpaceDE w:val="0"/>
              <w:autoSpaceDN w:val="0"/>
              <w:adjustRightInd w:val="0"/>
              <w:spacing w:after="0" w:line="240" w:lineRule="auto"/>
              <w:jc w:val="center"/>
              <w:rPr>
                <w:rFonts w:ascii="Times New Roman" w:hAnsi="Times New Roman" w:eastAsia="LiberationSerif-Bold" w:cs="Times New Roman"/>
                <w:sz w:val="24"/>
                <w:szCs w:val="24"/>
                <w:lang w:val="uz-Cyrl-UZ"/>
              </w:rPr>
            </w:pPr>
            <w:r>
              <w:rPr>
                <w:rFonts w:ascii="Times New Roman" w:hAnsi="Times New Roman" w:eastAsia="LiberationSerif-Bold" w:cs="Times New Roman"/>
                <w:sz w:val="24"/>
                <w:szCs w:val="24"/>
              </w:rPr>
              <w:t>15$</w:t>
            </w:r>
          </w:p>
        </w:tc>
        <w:tc>
          <w:tcPr>
            <w:tcW w:w="2375" w:type="dxa"/>
            <w:vAlign w:val="center"/>
          </w:tcPr>
          <w:p w14:paraId="12B33B49">
            <w:pPr>
              <w:autoSpaceDE w:val="0"/>
              <w:autoSpaceDN w:val="0"/>
              <w:adjustRightInd w:val="0"/>
              <w:spacing w:after="0" w:line="240" w:lineRule="auto"/>
              <w:jc w:val="center"/>
              <w:rPr>
                <w:rFonts w:ascii="Times New Roman" w:hAnsi="Times New Roman" w:eastAsia="LiberationSerif-Bold" w:cs="Times New Roman"/>
                <w:sz w:val="24"/>
                <w:szCs w:val="24"/>
                <w:lang w:val="uz-Cyrl-UZ"/>
              </w:rPr>
            </w:pPr>
            <w:r>
              <w:rPr>
                <w:rFonts w:ascii="Times New Roman" w:hAnsi="Times New Roman" w:eastAsia="LiberationSerif-Bold" w:cs="Times New Roman"/>
                <w:sz w:val="24"/>
                <w:szCs w:val="24"/>
              </w:rPr>
              <w:t>15$</w:t>
            </w:r>
          </w:p>
        </w:tc>
      </w:tr>
      <w:tr w14:paraId="2BE6B87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928" w:type="dxa"/>
            <w:vAlign w:val="center"/>
          </w:tcPr>
          <w:p w14:paraId="0E2671FA">
            <w:pPr>
              <w:autoSpaceDE w:val="0"/>
              <w:autoSpaceDN w:val="0"/>
              <w:adjustRightInd w:val="0"/>
              <w:spacing w:after="0" w:line="240" w:lineRule="auto"/>
              <w:rPr>
                <w:rFonts w:ascii="Times New Roman" w:hAnsi="Times New Roman" w:eastAsia="LiberationSerif-Bold" w:cs="Times New Roman"/>
                <w:sz w:val="24"/>
                <w:szCs w:val="24"/>
                <w:lang w:val="uz-Cyrl-UZ"/>
              </w:rPr>
            </w:pPr>
            <w:r>
              <w:rPr>
                <w:rFonts w:ascii="Times New Roman" w:hAnsi="Times New Roman" w:eastAsia="LiberationSerif-Bold" w:cs="Times New Roman"/>
                <w:sz w:val="24"/>
                <w:szCs w:val="24"/>
                <w:lang w:val="en-US"/>
              </w:rPr>
              <w:t>7.Soliq va kredit foizini</w:t>
            </w:r>
            <w:r>
              <w:rPr>
                <w:rFonts w:ascii="Times New Roman" w:hAnsi="Times New Roman" w:eastAsia="LiberationSerif-Bold" w:cs="Times New Roman"/>
                <w:sz w:val="24"/>
                <w:szCs w:val="24"/>
                <w:lang w:val="uz-Cyrl-UZ"/>
              </w:rPr>
              <w:t xml:space="preserve"> </w:t>
            </w:r>
            <w:r>
              <w:rPr>
                <w:rFonts w:ascii="Times New Roman" w:hAnsi="Times New Roman" w:eastAsia="LiberationSerif-Bold" w:cs="Times New Roman"/>
                <w:sz w:val="24"/>
                <w:szCs w:val="24"/>
                <w:lang w:val="en-US"/>
              </w:rPr>
              <w:t>to’lashdan oldingi foyda</w:t>
            </w:r>
            <w:r>
              <w:rPr>
                <w:rFonts w:ascii="Times New Roman" w:hAnsi="Times New Roman" w:eastAsia="LiberationSerif-Bold" w:cs="Times New Roman"/>
                <w:sz w:val="24"/>
                <w:szCs w:val="24"/>
                <w:lang w:val="uz-Cyrl-UZ"/>
              </w:rPr>
              <w:t xml:space="preserve"> </w:t>
            </w:r>
            <w:r>
              <w:rPr>
                <w:rFonts w:ascii="Times New Roman" w:hAnsi="Times New Roman" w:eastAsia="LiberationSerif-Bold" w:cs="Times New Roman"/>
                <w:sz w:val="24"/>
                <w:szCs w:val="24"/>
                <w:lang w:val="en-US"/>
              </w:rPr>
              <w:t>(7q3-4-5-6)</w:t>
            </w:r>
          </w:p>
        </w:tc>
        <w:tc>
          <w:tcPr>
            <w:tcW w:w="2268" w:type="dxa"/>
            <w:vAlign w:val="center"/>
          </w:tcPr>
          <w:p w14:paraId="30EFDA2E">
            <w:pPr>
              <w:autoSpaceDE w:val="0"/>
              <w:autoSpaceDN w:val="0"/>
              <w:adjustRightInd w:val="0"/>
              <w:spacing w:after="0" w:line="240" w:lineRule="auto"/>
              <w:jc w:val="center"/>
              <w:rPr>
                <w:rFonts w:ascii="Times New Roman" w:hAnsi="Times New Roman" w:eastAsia="LiberationSerif-Bold" w:cs="Times New Roman"/>
                <w:sz w:val="24"/>
                <w:szCs w:val="24"/>
                <w:lang w:val="uz-Cyrl-UZ"/>
              </w:rPr>
            </w:pPr>
            <w:r>
              <w:rPr>
                <w:rFonts w:ascii="Times New Roman" w:hAnsi="Times New Roman" w:eastAsia="LiberationSerif-Bold" w:cs="Times New Roman"/>
                <w:sz w:val="24"/>
                <w:szCs w:val="24"/>
              </w:rPr>
              <w:t>45$</w:t>
            </w:r>
          </w:p>
        </w:tc>
        <w:tc>
          <w:tcPr>
            <w:tcW w:w="2375" w:type="dxa"/>
            <w:vAlign w:val="center"/>
          </w:tcPr>
          <w:p w14:paraId="61C43A5B">
            <w:pPr>
              <w:autoSpaceDE w:val="0"/>
              <w:autoSpaceDN w:val="0"/>
              <w:adjustRightInd w:val="0"/>
              <w:spacing w:after="0" w:line="240" w:lineRule="auto"/>
              <w:jc w:val="center"/>
              <w:rPr>
                <w:rFonts w:ascii="Times New Roman" w:hAnsi="Times New Roman" w:eastAsia="LiberationSerif-Bold" w:cs="Times New Roman"/>
                <w:sz w:val="24"/>
                <w:szCs w:val="24"/>
                <w:lang w:val="uz-Cyrl-UZ"/>
              </w:rPr>
            </w:pPr>
            <w:r>
              <w:rPr>
                <w:rFonts w:ascii="Times New Roman" w:hAnsi="Times New Roman" w:eastAsia="LiberationSerif-Bold" w:cs="Times New Roman"/>
                <w:sz w:val="24"/>
                <w:szCs w:val="24"/>
              </w:rPr>
              <w:t>5$</w:t>
            </w:r>
          </w:p>
        </w:tc>
      </w:tr>
    </w:tbl>
    <w:p w14:paraId="6CBE7E64">
      <w:pPr>
        <w:autoSpaceDE w:val="0"/>
        <w:autoSpaceDN w:val="0"/>
        <w:adjustRightInd w:val="0"/>
        <w:spacing w:after="0" w:line="240" w:lineRule="auto"/>
        <w:jc w:val="both"/>
        <w:rPr>
          <w:rFonts w:ascii="Times New Roman" w:hAnsi="Times New Roman" w:eastAsia="LiberationSerif-Bold" w:cs="Times New Roman"/>
          <w:sz w:val="28"/>
          <w:szCs w:val="28"/>
          <w:lang w:val="uz-Cyrl-UZ"/>
        </w:rPr>
      </w:pPr>
    </w:p>
    <w:p w14:paraId="1945B76A">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uz-Cyrl-UZ"/>
        </w:rPr>
        <w:t xml:space="preserve">Shu bilan birgalikda umumiy foyda ko’rsatkichining koeeffitsienti ham 50%dan yuqori bo’lsa, maqsadga muvofiq deb tushiniladi. </w:t>
      </w:r>
      <w:r>
        <w:rPr>
          <w:rFonts w:ascii="Times New Roman" w:hAnsi="Times New Roman" w:eastAsia="LiberationSerif-Bold" w:cs="Times New Roman"/>
          <w:sz w:val="28"/>
          <w:szCs w:val="28"/>
          <w:lang w:val="en-US"/>
        </w:rPr>
        <w:t>O’zbekistondagi tijorat</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banklari loyiha xarajatlarining kamida 25%i mijozlar tamonidan qoplanishini talab</w:t>
      </w:r>
      <w:r>
        <w:rPr>
          <w:rFonts w:ascii="Times New Roman" w:hAnsi="Times New Roman" w:eastAsia="LiberationSerif-Bold" w:cs="Times New Roman"/>
          <w:sz w:val="28"/>
          <w:szCs w:val="28"/>
          <w:lang w:val="uz-Cyrl-UZ"/>
        </w:rPr>
        <w:t xml:space="preserve"> e</w:t>
      </w:r>
      <w:r>
        <w:rPr>
          <w:rFonts w:ascii="Times New Roman" w:hAnsi="Times New Roman" w:eastAsia="LiberationSerif-Bold" w:cs="Times New Roman"/>
          <w:sz w:val="28"/>
          <w:szCs w:val="28"/>
          <w:lang w:val="en-US"/>
        </w:rPr>
        <w:t>tadi. Agar mijozlar 30-35 va undan ko’p foizda loyihani moliyalashtirsa, unda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loyihalar tijorat banklari tamonidan yanada engilroq moliyalashtirilishi mumkin.</w:t>
      </w:r>
    </w:p>
    <w:p w14:paraId="424F119A">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uz-Cyrl-UZ"/>
        </w:rPr>
        <w:t>Yu</w:t>
      </w:r>
      <w:r>
        <w:rPr>
          <w:rFonts w:ascii="Times New Roman" w:hAnsi="Times New Roman" w:eastAsia="LiberationSerif-Bold" w:cs="Times New Roman"/>
          <w:sz w:val="28"/>
          <w:szCs w:val="28"/>
          <w:lang w:val="en-US"/>
        </w:rPr>
        <w:t>qoridagi jadvaldan ko’rinib turibdiki, ushbu loyihada xalqaro standart bo’yicha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kutilayotgan sof foyda 60%ni, soliq va kredit to’lashdan oldingi foyda 45% ni tashkil</w:t>
      </w:r>
      <w:r>
        <w:rPr>
          <w:rFonts w:ascii="Times New Roman" w:hAnsi="Times New Roman" w:eastAsia="LiberationSerif-Bold" w:cs="Times New Roman"/>
          <w:sz w:val="28"/>
          <w:szCs w:val="28"/>
          <w:lang w:val="uz-Cyrl-UZ"/>
        </w:rPr>
        <w:t xml:space="preserve"> e</w:t>
      </w:r>
      <w:r>
        <w:rPr>
          <w:rFonts w:ascii="Times New Roman" w:hAnsi="Times New Roman" w:eastAsia="LiberationSerif-Bold" w:cs="Times New Roman"/>
          <w:sz w:val="28"/>
          <w:szCs w:val="28"/>
          <w:lang w:val="en-US"/>
        </w:rPr>
        <w:t>tadi. Demak, bu loyihani birinchi sodda usul bilan tahlil qilganimizda unga ijobiy</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baho berishimiz mumkin. Jadvaldan yana qo’yidagi xulosaga kelish mumkin:</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loyihadagi soliq va kredit foizini to’lashdan oldingi foyda 45% ni tashkil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tgani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uchun korxona umumiy tushumning 45% gacha miqdorida investitsiya olish mumkin.</w:t>
      </w:r>
    </w:p>
    <w:p w14:paraId="1DD81E42">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Boshqacha so’z bilan aytganda, agar korxonaning umumiy tushumlari bir mln.dollar</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miqdorda kutilayotgan bo’lsa korxonaga maksimum 450 ming dollar miqdorda kredit</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berishi mumkin. Bunda tijorat bankining kreditlash ko</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ffitsienti umumiy foydaga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nisbatan 1:0,5 qilib belgilangan. </w:t>
      </w:r>
      <w:r>
        <w:rPr>
          <w:rFonts w:ascii="Times New Roman" w:hAnsi="Times New Roman" w:eastAsia="LiberationSerif-Bold" w:cs="Times New Roman"/>
          <w:sz w:val="28"/>
          <w:szCs w:val="28"/>
          <w:lang w:val="uz-Cyrl-UZ"/>
        </w:rPr>
        <w:t>Sh</w:t>
      </w:r>
      <w:r>
        <w:rPr>
          <w:rFonts w:ascii="Times New Roman" w:hAnsi="Times New Roman" w:eastAsia="LiberationSerif-Bold" w:cs="Times New Roman"/>
          <w:sz w:val="28"/>
          <w:szCs w:val="28"/>
          <w:lang w:val="en-US"/>
        </w:rPr>
        <w:t>uni aytish kerakki, rivojlangan mamlakatlarda bu</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ko</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ffitsient 1:1, 1:3,1:4, va hokazo qilib belgilangan. Amaliyotda kredit olish hatto</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rivojlangan mamlakatlarda ham oson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 xml:space="preserve">mas. </w:t>
      </w:r>
      <w:r>
        <w:rPr>
          <w:rFonts w:ascii="Times New Roman" w:hAnsi="Times New Roman" w:eastAsia="LiberationSerif-Bold" w:cs="Times New Roman"/>
          <w:sz w:val="28"/>
          <w:szCs w:val="28"/>
          <w:lang w:val="uz-Cyrl-UZ"/>
        </w:rPr>
        <w:t>Sh</w:t>
      </w:r>
      <w:r>
        <w:rPr>
          <w:rFonts w:ascii="Times New Roman" w:hAnsi="Times New Roman" w:eastAsia="LiberationSerif-Bold" w:cs="Times New Roman"/>
          <w:sz w:val="28"/>
          <w:szCs w:val="28"/>
          <w:lang w:val="en-US"/>
        </w:rPr>
        <w:t>uning uchun g’arb mamlakatlarida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shunday muhit mavjud: investitsiyani olish investitsiya kerak bo’lmagan</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kompaniyalar uchun oson, chunki ularning aktivlari va sof foydasi yuqori, banklar</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uchun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 xml:space="preserve">sa ularning kafolati etarli, ammo ularning kreditga zarurati yo’q. </w:t>
      </w:r>
      <w:r>
        <w:rPr>
          <w:rFonts w:ascii="Times New Roman" w:hAnsi="Times New Roman" w:eastAsia="LiberationSerif-Bold" w:cs="Times New Roman"/>
          <w:sz w:val="28"/>
          <w:szCs w:val="28"/>
          <w:lang w:val="uz-Cyrl-UZ"/>
        </w:rPr>
        <w:t>O’</w:t>
      </w:r>
      <w:r>
        <w:rPr>
          <w:rFonts w:ascii="Times New Roman" w:hAnsi="Times New Roman" w:eastAsia="LiberationSerif-Bold" w:cs="Times New Roman"/>
          <w:sz w:val="28"/>
          <w:szCs w:val="28"/>
          <w:lang w:val="en-US"/>
        </w:rPr>
        <w:t>rta va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kichik biznes korxonalari uchun tuzilgan loyihalar yuqori miqdorda qo’shilgan</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qiymat yara</w:t>
      </w:r>
      <w:r>
        <w:rPr>
          <w:rFonts w:ascii="Times New Roman" w:hAnsi="Times New Roman" w:eastAsia="LiberationSerif-Bold" w:cs="Times New Roman"/>
          <w:sz w:val="28"/>
          <w:szCs w:val="28"/>
          <w:lang w:val="uz-Cyrl-UZ"/>
        </w:rPr>
        <w:t>ts</w:t>
      </w:r>
      <w:r>
        <w:rPr>
          <w:rFonts w:ascii="Times New Roman" w:hAnsi="Times New Roman" w:eastAsia="LiberationSerif-Bold" w:cs="Times New Roman"/>
          <w:sz w:val="28"/>
          <w:szCs w:val="28"/>
          <w:lang w:val="en-US"/>
        </w:rPr>
        <w:t>a, ularning investitsiya olish ikoniyatlari ko’payadi.</w:t>
      </w:r>
    </w:p>
    <w:p w14:paraId="6F254677">
      <w:pPr>
        <w:autoSpaceDE w:val="0"/>
        <w:autoSpaceDN w:val="0"/>
        <w:adjustRightInd w:val="0"/>
        <w:spacing w:after="0" w:line="240" w:lineRule="auto"/>
        <w:jc w:val="both"/>
        <w:rPr>
          <w:rFonts w:ascii="Times New Roman" w:hAnsi="Times New Roman" w:eastAsia="LiberationSerif-Bold" w:cs="Times New Roman"/>
          <w:b/>
          <w:bCs/>
          <w:sz w:val="28"/>
          <w:szCs w:val="28"/>
          <w:lang w:val="uz-Cyrl-UZ"/>
        </w:rPr>
      </w:pPr>
    </w:p>
    <w:p w14:paraId="6FE30328">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r>
        <w:rPr>
          <w:rFonts w:ascii="Times New Roman" w:hAnsi="Times New Roman" w:eastAsia="LiberationSerif-Bold" w:cs="Times New Roman"/>
          <w:b/>
          <w:bCs/>
          <w:sz w:val="28"/>
          <w:szCs w:val="28"/>
          <w:lang w:val="uz-Cyrl-UZ"/>
        </w:rPr>
        <w:t>Qisqacha xulosalar</w:t>
      </w:r>
    </w:p>
    <w:p w14:paraId="7A5827F8">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p>
    <w:p w14:paraId="579C8EC5">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Moliyaviy tahlil tahlilning moliyaviy rentabellilik tahlili, moliyalashtirishga ehtiyoj tahlili, loyihani ekspluatatsiya qiluvchi tashkilotning moliyaviy tahlil, xarajatlarning qoplanishi tahlili kabi turlarini o’z ichiga oladi.</w:t>
      </w:r>
    </w:p>
    <w:p w14:paraId="59440CC2">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Moliyaviy rentabellik tahlili loyiha pozitsiyasidan amalga oshiriladi va loyihaning hayot davri davomida investitsiyadan keladigan samarani baholashdan iborat. Bu tahlil pul tushumlari va chiqimlari hisobotiga tayanib, diskontlangan tushum (daromad)lar va chiqim (xarajat)lar yordamida turli rentabellik ko’rsatkichlarini, shuningdek, ichki foyda me’yori, sof keltirilgan qiymat, investitsiyalar rentabelligi kabi mezonlar bo’lib hisoblangan ko’rsatkichlarni hisoblashga asoslangan.</w:t>
      </w:r>
    </w:p>
    <w:p w14:paraId="054EA5FF">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uz-Cyrl-UZ"/>
        </w:rPr>
        <w:t xml:space="preserve">Moliyalashtirishga ehtiyoj tahlili hukumat, loyihadan foydalanuvchilar va undan manfaat ko’ruvchilar pozitsiyasidan turib amalga oshiriladi va uning maqsadi loyihani investitsiyalash va uni ekspluatatsiya qilish uchun kerak bo’lgan barcha moliyaviy ehtiyojlarni prognoz qilishdan iborat. </w:t>
      </w:r>
      <w:r>
        <w:rPr>
          <w:rFonts w:ascii="Times New Roman" w:hAnsi="Times New Roman" w:eastAsia="LiberationSerif-Bold" w:cs="Times New Roman"/>
          <w:sz w:val="28"/>
          <w:szCs w:val="28"/>
          <w:lang w:val="en-US"/>
        </w:rPr>
        <w:t>Zarur hisob-kitoblar joriy baholarda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tuzilgan moliyaviy rejada aks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ttiriladi.</w:t>
      </w:r>
    </w:p>
    <w:p w14:paraId="2922868A">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 xml:space="preserve">Loyihani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kspluatatsiya qiluvchi tashkilotni moliyaviy tahlidan maqsadi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tashkilotning moliyaviy ahvoli va boshqaruv sifatini aniqlashdan iborat. Bu tahlil o’z</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ichiga uchta moliyaviy hisobotni tayyorlash, tahlil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tish va prognoz qilishni oladi.</w:t>
      </w:r>
    </w:p>
    <w:p w14:paraId="21997623">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Bular foyda va zararlar hisoboti, pul mablag’lari tushumlari va chiqimlari hisoboti va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balans hisobotidir. Bu hisobot shakllari prognoz qilinib, intervallar bo’yicha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ko’rsatkichlar hisoblanadi. O’z navbatida ular bir qancha moliyaviy ko’rsatkichlarni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hisoblash uchun baza hisoblanadi. Bu ko’rsatkichlarda umumiy likvidlik, shu</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muddatdagi likvidlik, umumiy to’lov qiymati ko</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ffitsienti va boshqalar o’z ifodasini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topadi.</w:t>
      </w:r>
    </w:p>
    <w:p w14:paraId="63E8648E">
      <w:pPr>
        <w:autoSpaceDE w:val="0"/>
        <w:autoSpaceDN w:val="0"/>
        <w:adjustRightInd w:val="0"/>
        <w:spacing w:after="0" w:line="240" w:lineRule="auto"/>
        <w:jc w:val="both"/>
        <w:rPr>
          <w:rFonts w:ascii="Times New Roman" w:hAnsi="Times New Roman" w:eastAsia="LiberationSerif-Bold" w:cs="Times New Roman"/>
          <w:b/>
          <w:bCs/>
          <w:sz w:val="28"/>
          <w:szCs w:val="28"/>
          <w:lang w:val="uz-Cyrl-UZ"/>
        </w:rPr>
      </w:pPr>
    </w:p>
    <w:p w14:paraId="7E7EC038">
      <w:pPr>
        <w:autoSpaceDE w:val="0"/>
        <w:autoSpaceDN w:val="0"/>
        <w:adjustRightInd w:val="0"/>
        <w:spacing w:after="0" w:line="240" w:lineRule="auto"/>
        <w:jc w:val="center"/>
        <w:rPr>
          <w:rFonts w:ascii="Times New Roman" w:hAnsi="Times New Roman" w:eastAsia="LiberationSerif-Bold" w:cs="Times New Roman"/>
          <w:b/>
          <w:bCs/>
          <w:sz w:val="28"/>
          <w:szCs w:val="28"/>
          <w:lang w:val="en-US"/>
        </w:rPr>
      </w:pPr>
      <w:r>
        <w:rPr>
          <w:rFonts w:ascii="Times New Roman" w:hAnsi="Times New Roman" w:eastAsia="LiberationSerif-Bold" w:cs="Times New Roman"/>
          <w:b/>
          <w:bCs/>
          <w:sz w:val="28"/>
          <w:szCs w:val="28"/>
          <w:lang w:val="en-US"/>
        </w:rPr>
        <w:t>Nazorat va muhokama uchun savollar</w:t>
      </w:r>
    </w:p>
    <w:p w14:paraId="6737BFB2">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p>
    <w:p w14:paraId="6EEBD79F">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1. Loyihalarning moliyaviy tahlili nima maqsadda o’tkaziladi?</w:t>
      </w:r>
    </w:p>
    <w:p w14:paraId="5696EFF7">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2. Loyihalarning moliyaviy tahlili vazifalarini tushuntiring?</w:t>
      </w:r>
    </w:p>
    <w:p w14:paraId="2C39A603">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3. Moliyaviy rentabellik tahlilining mohiyati nimada?</w:t>
      </w:r>
    </w:p>
    <w:p w14:paraId="17960B81">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 xml:space="preserve">4. Moliyalashtirishga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htiyoj tahlili qanday amalga oshiriladi?</w:t>
      </w:r>
    </w:p>
    <w:p w14:paraId="3AD530C9">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5. Xarajatlarning qoplanishi tahliliga tavsif bering.</w:t>
      </w:r>
    </w:p>
    <w:p w14:paraId="5F67FF26">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 xml:space="preserve">6. Loyihani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kspluatatsiya qiluvchi tashkilotning moliyaviy tahlilida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qo’llaniladigan hisobot shakllarini izohlab bering.</w:t>
      </w:r>
    </w:p>
    <w:p w14:paraId="55A150A9">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7. Loyiha tahlili turlari bo’yicha qo’llaniladigan mezonlarni tushuntirib bering.</w:t>
      </w:r>
    </w:p>
    <w:p w14:paraId="16378E56">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8. Moliyaviy tahlilda qo’llaniladigan qaysi ko</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ffitsientlarni bilasiz?</w:t>
      </w:r>
    </w:p>
    <w:p w14:paraId="1F20BF13">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9. Moliyaviy tahlilda aylanma mablag’larga talab so’mda va valyutada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hisoblanishi sababi nimada?</w:t>
      </w:r>
    </w:p>
    <w:p w14:paraId="320EAD9F">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10.</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Moliyaviy rentabellilik tahlili sabablari nimada?</w:t>
      </w:r>
    </w:p>
    <w:p w14:paraId="3CB28523">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11.</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Moliyalashtirishga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htiyoj tahlili nimani anglatadi?</w:t>
      </w:r>
    </w:p>
    <w:p w14:paraId="4FC966F0">
      <w:pPr>
        <w:autoSpaceDE w:val="0"/>
        <w:autoSpaceDN w:val="0"/>
        <w:adjustRightInd w:val="0"/>
        <w:spacing w:after="0" w:line="240" w:lineRule="auto"/>
        <w:jc w:val="both"/>
        <w:rPr>
          <w:rFonts w:ascii="Times New Roman" w:hAnsi="Times New Roman" w:eastAsia="LiberationSerif-Bold" w:cs="Times New Roman"/>
          <w:b/>
          <w:bCs/>
          <w:sz w:val="28"/>
          <w:szCs w:val="28"/>
          <w:lang w:val="uz-Cyrl-UZ"/>
        </w:rPr>
      </w:pPr>
    </w:p>
    <w:p w14:paraId="7AFC8F45">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r>
        <w:rPr>
          <w:rFonts w:ascii="Times New Roman" w:hAnsi="Times New Roman" w:eastAsia="LiberationSerif-Bold" w:cs="Times New Roman"/>
          <w:b/>
          <w:bCs/>
          <w:sz w:val="28"/>
          <w:szCs w:val="28"/>
          <w:lang w:val="uz-Cyrl-UZ"/>
        </w:rPr>
        <w:t>Foydalanilgan adabiyotlar ro’yxati</w:t>
      </w:r>
    </w:p>
    <w:p w14:paraId="5F964642">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p>
    <w:p w14:paraId="023F42FC">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uz-Cyrl-UZ"/>
        </w:rPr>
        <w:t xml:space="preserve">1. A.E.Ishmuxamedov, M.S.Qosimov, Z.A.Djumaev, G.Ya.Muxamedjanova. Loyiha tahlili. </w:t>
      </w:r>
      <w:r>
        <w:rPr>
          <w:rFonts w:ascii="Times New Roman" w:hAnsi="Times New Roman" w:eastAsia="LiberationSerif-Bold" w:cs="Times New Roman"/>
          <w:sz w:val="28"/>
          <w:szCs w:val="28"/>
          <w:lang w:val="en-US"/>
        </w:rPr>
        <w:t>T: TDIU. 20</w:t>
      </w:r>
      <w:r>
        <w:rPr>
          <w:rFonts w:ascii="Times New Roman" w:hAnsi="Times New Roman" w:eastAsia="LiberationSerif-Bold" w:cs="Times New Roman"/>
          <w:sz w:val="28"/>
          <w:szCs w:val="28"/>
          <w:lang w:val="uz-Cyrl-UZ"/>
        </w:rPr>
        <w:t>17</w:t>
      </w:r>
      <w:r>
        <w:rPr>
          <w:rFonts w:ascii="Times New Roman" w:hAnsi="Times New Roman" w:eastAsia="LiberationSerif-Bold" w:cs="Times New Roman"/>
          <w:sz w:val="28"/>
          <w:szCs w:val="28"/>
          <w:lang w:val="en-US"/>
        </w:rPr>
        <w:t>.-157-171 b.</w:t>
      </w:r>
    </w:p>
    <w:p w14:paraId="3477437F">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uz-Cyrl-UZ"/>
        </w:rPr>
        <w:t>2</w:t>
      </w:r>
      <w:r>
        <w:rPr>
          <w:rFonts w:ascii="Times New Roman" w:hAnsi="Times New Roman" w:eastAsia="LiberationSerif-Bold" w:cs="Times New Roman"/>
          <w:sz w:val="28"/>
          <w:szCs w:val="28"/>
          <w:lang w:val="en-US"/>
        </w:rPr>
        <w:t>.</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Staroverova G.S. Ekonomicheskaya otsenka investitsiy. Uchebnoe posobie.- G.S.Staroverova, A.Yu.Medvedev.3-e izd, -M: KNORUS, 201</w:t>
      </w:r>
      <w:r>
        <w:rPr>
          <w:rFonts w:ascii="Times New Roman" w:hAnsi="Times New Roman" w:eastAsia="LiberationSerif-Bold" w:cs="Times New Roman"/>
          <w:sz w:val="28"/>
          <w:szCs w:val="28"/>
          <w:lang w:val="uz-Cyrl-UZ"/>
        </w:rPr>
        <w:t>8</w:t>
      </w:r>
      <w:r>
        <w:rPr>
          <w:rFonts w:ascii="Times New Roman" w:hAnsi="Times New Roman" w:eastAsia="LiberationSerif-Bold" w:cs="Times New Roman"/>
          <w:sz w:val="28"/>
          <w:szCs w:val="28"/>
          <w:lang w:val="en-US"/>
        </w:rPr>
        <w:t>. -215-250s.</w:t>
      </w:r>
    </w:p>
    <w:p w14:paraId="0AF6AD8B">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uz-Cyrl-UZ"/>
        </w:rPr>
        <w:t>3</w:t>
      </w:r>
      <w:r>
        <w:rPr>
          <w:rFonts w:ascii="Times New Roman" w:hAnsi="Times New Roman" w:eastAsia="LiberationSerif-Bold" w:cs="Times New Roman"/>
          <w:sz w:val="28"/>
          <w:szCs w:val="28"/>
          <w:lang w:val="en-US"/>
        </w:rPr>
        <w:t>. Baldin K.V. Investitsii i innovatsii. Uchebnoe posobie. g’ K.V. Baldin, I.I.Perederyaev i dr.-2- izd- M: Izdatelskoe–torgovaya korporatsiya «Dashkov i K»,</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201</w:t>
      </w:r>
      <w:r>
        <w:rPr>
          <w:rFonts w:ascii="Times New Roman" w:hAnsi="Times New Roman" w:eastAsia="LiberationSerif-Bold" w:cs="Times New Roman"/>
          <w:sz w:val="28"/>
          <w:szCs w:val="28"/>
          <w:lang w:val="uz-Cyrl-UZ"/>
        </w:rPr>
        <w:t>8</w:t>
      </w:r>
      <w:r>
        <w:rPr>
          <w:rFonts w:ascii="Times New Roman" w:hAnsi="Times New Roman" w:eastAsia="LiberationSerif-Bold" w:cs="Times New Roman"/>
          <w:sz w:val="28"/>
          <w:szCs w:val="28"/>
          <w:lang w:val="en-US"/>
        </w:rPr>
        <w:t>. – 199-238 s.</w:t>
      </w:r>
    </w:p>
    <w:p w14:paraId="0BE929C8">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4</w:t>
      </w:r>
      <w:r>
        <w:rPr>
          <w:rFonts w:ascii="Times New Roman" w:hAnsi="Times New Roman" w:eastAsia="LiberationSerif-Bold" w:cs="Times New Roman"/>
          <w:sz w:val="28"/>
          <w:szCs w:val="28"/>
          <w:lang w:val="en-US"/>
        </w:rPr>
        <w:t>.</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Tyurina A.V. Investitsii. Praktikum. Uchebnoe posobie. g’ A.V. Tyurina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-M:</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KNORUS.201</w:t>
      </w:r>
      <w:r>
        <w:rPr>
          <w:rFonts w:ascii="Times New Roman" w:hAnsi="Times New Roman" w:eastAsia="LiberationSerif-Bold" w:cs="Times New Roman"/>
          <w:sz w:val="28"/>
          <w:szCs w:val="28"/>
          <w:lang w:val="uz-Cyrl-UZ"/>
        </w:rPr>
        <w:t>8</w:t>
      </w:r>
      <w:r>
        <w:rPr>
          <w:rFonts w:ascii="Times New Roman" w:hAnsi="Times New Roman" w:eastAsia="LiberationSerif-Bold" w:cs="Times New Roman"/>
          <w:sz w:val="28"/>
          <w:szCs w:val="28"/>
          <w:lang w:val="en-US"/>
        </w:rPr>
        <w:t xml:space="preserve">.- </w:t>
      </w:r>
      <w:r>
        <w:rPr>
          <w:rFonts w:ascii="Times New Roman" w:hAnsi="Times New Roman" w:eastAsia="LiberationSerif-Bold" w:cs="Times New Roman"/>
          <w:sz w:val="28"/>
          <w:szCs w:val="28"/>
        </w:rPr>
        <w:t>112-208 str</w:t>
      </w:r>
      <w:r>
        <w:rPr>
          <w:rFonts w:ascii="Times New Roman" w:hAnsi="Times New Roman" w:eastAsia="LiberationSerif-Bold" w:cs="Times New Roman"/>
          <w:sz w:val="28"/>
          <w:szCs w:val="28"/>
          <w:lang w:val="uz-Cyrl-UZ"/>
        </w:rPr>
        <w:t>.</w:t>
      </w:r>
    </w:p>
    <w:sectPr>
      <w:headerReference r:id="rId5" w:type="default"/>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43"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Calibri">
    <w:panose1 w:val="020F0502020204030204"/>
    <w:charset w:val="CC"/>
    <w:family w:val="swiss"/>
    <w:pitch w:val="default"/>
    <w:sig w:usb0="E0002AFF" w:usb1="C000247B" w:usb2="00000009" w:usb3="00000000" w:csb0="200001FF" w:csb1="00000000"/>
  </w:font>
  <w:font w:name="LiberationSerif-Bold">
    <w:altName w:val="Yu Gothic"/>
    <w:panose1 w:val="00000000000000000000"/>
    <w:charset w:val="80"/>
    <w:family w:val="auto"/>
    <w:pitch w:val="default"/>
    <w:sig w:usb0="00000000" w:usb1="00000000" w:usb2="00000010" w:usb3="00000000" w:csb0="00020000" w:csb1="00000000"/>
  </w:font>
  <w:font w:name="Yu Gothic">
    <w:panose1 w:val="020B0400000000000000"/>
    <w:charset w:val="80"/>
    <w:family w:val="auto"/>
    <w:pitch w:val="default"/>
    <w:sig w:usb0="E00002FF" w:usb1="2AC7FDFF" w:usb2="00000016" w:usb3="00000000" w:csb0="2002009F" w:csb1="00000000"/>
  </w:font>
  <w:font w:name="Cambria Math">
    <w:panose1 w:val="02040503050406030204"/>
    <w:charset w:val="01"/>
    <w:family w:val="auto"/>
    <w:pitch w:val="variable"/>
    <w:sig w:usb0="E00006FF" w:usb1="420024FF" w:usb2="02000000" w:usb3="00000000" w:csb0="2000019F" w:csb1="00000000"/>
  </w:font>
  <w:font w:name="@SimSun">
    <w:panose1 w:val="02010600030101010101"/>
    <w:charset w:val="86"/>
    <w:family w:val="auto"/>
    <w:pitch w:val="variable"/>
    <w:sig w:usb0="00000003" w:usb1="288F0000" w:usb2="0000000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CBEC1D">
    <w:pPr>
      <w:pStyle w:val="4"/>
      <w:widowControl/>
    </w:pPr>
    <w:r>
      <w:rPr>
        <w:lang w:val="en-US"/>
      </w:rPr>
      <w:t>G.K.Turayeva-Investitsion loyihalar tahlili</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08"/>
  <w:displayHorizontalDrawingGridEvery w:val="1"/>
  <w:displayVerticalDrawingGridEvery w:val="1"/>
  <w:characterSpacingControl w:val="doNotCompress"/>
  <w:footnotePr>
    <w:footnote w:id="0"/>
    <w:footnote w:id="1"/>
  </w:footnotePr>
  <w:endnotePr>
    <w:endnote w:id="0"/>
    <w:endnote w:id="1"/>
  </w:endnotePr>
  <w:compat>
    <w:doNotExpandShiftReturn/>
    <w:doNotUseIndentAsNumberingTabStop/>
    <w:compatSetting w:name="compatibilityMode" w:uri="http://schemas.microsoft.com/office/word" w:val="12"/>
  </w:compat>
  <w:rsids>
    <w:rsidRoot w:val="008948FF"/>
    <w:rsid w:val="005F2382"/>
    <w:rsid w:val="00811B7C"/>
    <w:rsid w:val="008948FF"/>
    <w:rsid w:val="00905F6C"/>
    <w:rsid w:val="00BA73B6"/>
    <w:rsid w:val="0CEE62A8"/>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rules v:ext="edit">
        <o:r id="V:Rule1" type="connector" idref="#_x0000_s1029"/>
        <o:r id="V:Rule2" type="connector" idref="#_x0000_s1030"/>
      </o:rules>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ru-RU" w:eastAsia="ru-RU" w:bidi="ar-SA"/>
    </w:rPr>
  </w:style>
  <w:style w:type="character" w:default="1" w:styleId="2">
    <w:name w:val="Default Paragraph Font"/>
    <w:semiHidden/>
    <w:unhideWhenUsed/>
    <w:uiPriority w:val="1"/>
  </w:style>
  <w:style w:type="table" w:default="1" w:styleId="3">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0" w:type="dxa"/>
        <w:bottom w:w="0" w:type="dxa"/>
        <w:right w:w="100" w:type="dxa"/>
      </w:tblCellMar>
    </w:tblPr>
  </w:style>
  <w:style w:type="paragraph" w:styleId="4">
    <w:name w:val="header"/>
    <w:link w:val="8"/>
    <w:semiHidden/>
    <w:unhideWhenUsed/>
    <w:uiPriority w:val="99"/>
    <w:pPr>
      <w:keepNext w:val="0"/>
      <w:keepLines w:val="0"/>
      <w:widowControl/>
      <w:suppressLineNumbers w:val="0"/>
      <w:spacing w:before="0" w:beforeAutospacing="1" w:after="0" w:afterAutospacing="1" w:line="271" w:lineRule="auto"/>
      <w:ind w:left="0" w:right="0"/>
      <w:jc w:val="left"/>
    </w:pPr>
    <w:rPr>
      <w:rFonts w:ascii="Calibri" w:hAnsi="Calibri" w:eastAsia="SimSun" w:cs="Times New Roman"/>
      <w:kern w:val="0"/>
      <w:sz w:val="24"/>
      <w:szCs w:val="24"/>
      <w:lang w:val="en-US" w:eastAsia="zh-CN" w:bidi="ar"/>
    </w:rPr>
  </w:style>
  <w:style w:type="paragraph" w:styleId="5">
    <w:name w:val="footer"/>
    <w:basedOn w:val="1"/>
    <w:semiHidden/>
    <w:unhideWhenUsed/>
    <w:uiPriority w:val="99"/>
    <w:pPr>
      <w:tabs>
        <w:tab w:val="center" w:pos="4153"/>
        <w:tab w:val="right" w:pos="8306"/>
      </w:tabs>
    </w:pPr>
  </w:style>
  <w:style w:type="table" w:styleId="6">
    <w:name w:val="Table Grid"/>
    <w:basedOn w:val="3"/>
    <w:qFormat/>
    <w:uiPriority w:val="5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7">
    <w:name w:val="List Paragraph"/>
    <w:basedOn w:val="1"/>
    <w:qFormat/>
    <w:uiPriority w:val="34"/>
    <w:pPr>
      <w:ind w:left="720"/>
      <w:contextualSpacing/>
    </w:pPr>
  </w:style>
  <w:style w:type="character" w:customStyle="1" w:styleId="8">
    <w:name w:val="Верхний колонтитул Знак"/>
    <w:link w:val="4"/>
    <w:uiPriority w:val="0"/>
    <w:rPr>
      <w:rFonts w:ascii="Calibri" w:hAnsi="Calibri" w:eastAsia="SimSun" w:cs="Calibri"/>
      <w:sz w:val="24"/>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8"/>
    <customShpInfo spid="_x0000_s1027"/>
    <customShpInfo spid="_x0000_s1026"/>
    <customShpInfo spid="_x0000_s1030"/>
    <customShpInfo spid="_x0000_s102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Reanimator Extreme Edition</Company>
  <Pages>10</Pages>
  <Words>2732</Words>
  <Characters>15576</Characters>
  <Lines>129</Lines>
  <Paragraphs>36</Paragraphs>
  <TotalTime>0</TotalTime>
  <ScaleCrop>false</ScaleCrop>
  <LinksUpToDate>false</LinksUpToDate>
  <CharactersWithSpaces>18272</CharactersWithSpaces>
  <Application>WPS Office_12.2.0.17545_F1E327BC-269C-435d-A152-05C5408002CA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2020-04-10T18:55:00Z</dcterms:created>
  <dc:creator>Laliga</dc:creator>
  <cp:lastModifiedBy>User</cp:lastModifiedBy>
  <dcterms:modified xsi:type="dcterms:W3CDTF">2024-09-10T18:51:53Z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1049-12.2.0.17545</vt:lpwstr>
  </property>
  <property fmtid="{D5CDD505-2E9C-101B-9397-08002B2CF9AE}" pid="3" name="ICV">
    <vt:lpwstr>03C9E6E8EE6E4AC8AD80942515B3571F_12</vt:lpwstr>
  </property>
</Properties>
</file>